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98D4" w14:textId="77777777" w:rsidR="000C331A" w:rsidRDefault="00000000">
      <w:pPr>
        <w:pStyle w:val="Heading1"/>
      </w:pPr>
      <w:r>
        <w:t>Lattice-Field Medium (LFM): Core Equations and Theoretical Foundations</w:t>
      </w:r>
    </w:p>
    <w:p w14:paraId="01F8DFB3" w14:textId="5906CB02" w:rsidR="000C331A" w:rsidRDefault="00000000">
      <w:r>
        <w:t>Version 2.0 — 2025-10-24</w:t>
      </w:r>
      <w:r>
        <w:br/>
        <w:t>Greg D. Partin | LFM Research, Los Angeles CA USA</w:t>
      </w:r>
      <w:r>
        <w:br/>
        <w:t xml:space="preserve">License: </w:t>
      </w:r>
      <w:r w:rsidR="00D654DA" w:rsidRPr="00D654DA">
        <w:t>License: This work is licensed under the Creative Commons Attribution–</w:t>
      </w:r>
      <w:proofErr w:type="spellStart"/>
      <w:r w:rsidR="00D654DA" w:rsidRPr="00D654DA">
        <w:t>NonCommercial</w:t>
      </w:r>
      <w:proofErr w:type="spellEnd"/>
      <w:r w:rsidR="00D654DA" w:rsidRPr="00D654DA">
        <w:t xml:space="preserve"> 4.0 International License (CC BY-NC 4.0).</w:t>
      </w:r>
    </w:p>
    <w:p w14:paraId="43AA91F8" w14:textId="77777777" w:rsidR="000C331A" w:rsidRDefault="00000000">
      <w:pPr>
        <w:pStyle w:val="Heading2"/>
      </w:pPr>
      <w:r>
        <w:t>Abstract</w:t>
      </w:r>
    </w:p>
    <w:p w14:paraId="01AEBCEE" w14:textId="77777777" w:rsidR="000C331A" w:rsidRDefault="00000000">
      <w:r>
        <w:t>This document defines the governing equations of the Lattice-Field Medium (LFM) and their continuum, discrete, and variational forms. It establishes the connection between the lattice update law and the variable-mass Klein–Gordon equation, outlines how Lorentz invariance emerges naturally in the continuum limit, and shows how quantization and gravitational analogues arise through the curvature field χ(x,t).</w:t>
      </w:r>
    </w:p>
    <w:p w14:paraId="279294CF" w14:textId="77777777" w:rsidR="000C331A" w:rsidRDefault="00000000">
      <w:pPr>
        <w:pStyle w:val="Heading2"/>
      </w:pPr>
      <w:r>
        <w:t>1  Introduction and Scope</w:t>
      </w:r>
    </w:p>
    <w:p w14:paraId="3D639255" w14:textId="77777777" w:rsidR="000C331A" w:rsidRDefault="00000000">
      <w:r>
        <w:t>The Lattice-Field Medium (LFM) treats spacetime as a discrete lattice of interacting energy cells. Each cell holds an energy amplitude E(x,t) and curvature parameter χ(x,t). The purpose of this document is to define the mathematical foundation of LFM, connecting the discrete rule to its continuum form and providing validation targets used in Tier 1–3 testing.</w:t>
      </w:r>
    </w:p>
    <w:p w14:paraId="2FF19C26" w14:textId="77777777" w:rsidR="000C331A" w:rsidRDefault="00000000">
      <w:pPr>
        <w:pStyle w:val="Heading2"/>
      </w:pPr>
      <w:r>
        <w:t>2  Canonical Field Equation</w:t>
      </w:r>
    </w:p>
    <w:p w14:paraId="63002C67" w14:textId="77777777" w:rsidR="000C331A" w:rsidRDefault="00000000">
      <w:r>
        <w:t>The canonical continuum form of the LFM equation is:</w:t>
      </w:r>
    </w:p>
    <w:p w14:paraId="18B45A04" w14:textId="77777777" w:rsidR="000C331A" w:rsidRDefault="00000000">
      <w:r>
        <w:t>∂²E/∂t² = c² ∇²E − χ²(x,t) E,  with c² = α/β.</w:t>
      </w:r>
    </w:p>
    <w:p w14:paraId="59EE02D3" w14:textId="77777777" w:rsidR="000C331A" w:rsidRDefault="00000000">
      <w:r>
        <w:t>Here E(x,t) is the local field energy, χ(x,t) is the curvature (effective mass), and c is the lattice propagation speed.</w:t>
      </w:r>
    </w:p>
    <w:p w14:paraId="1AEF3B69" w14:textId="77777777" w:rsidR="000C331A" w:rsidRDefault="00000000">
      <w:pPr>
        <w:pStyle w:val="Heading2"/>
      </w:pPr>
      <w:r>
        <w:t>3  Discrete Lattice Update Law</w:t>
      </w:r>
    </w:p>
    <w:p w14:paraId="66C6EE0E" w14:textId="77777777" w:rsidR="000C331A" w:rsidRDefault="00000000">
      <w:r>
        <w:t>At the cell level, energy evolves according to the discrete update rule:</w:t>
      </w:r>
      <w:r>
        <w:br/>
      </w:r>
      <w:r>
        <w:br/>
        <w:t>E_{i,j,k}^{t+1} = E_{i,j,k}^t + α∇²E + βΔφ + η + χE.</w:t>
      </w:r>
      <w:r>
        <w:br/>
      </w:r>
      <w:r>
        <w:br/>
        <w:t>This law captures diffusion (α), phase coupling (β), stochastic influence (η), and curvature (χ).</w:t>
      </w:r>
    </w:p>
    <w:p w14:paraId="78A770CA" w14:textId="77777777" w:rsidR="000C331A" w:rsidRDefault="00000000">
      <w:r>
        <w:t>Quantized Exchange Form: E_{i,j,k}(t+1) = E_{i,j,k}(t) ± nΔE_min</w:t>
      </w:r>
    </w:p>
    <w:p w14:paraId="4A9EF031" w14:textId="77777777" w:rsidR="000C331A" w:rsidRDefault="00000000">
      <w:r>
        <w:t>Effective Planck Relation: ℏ_eff = ΔE_min Δt</w:t>
      </w:r>
    </w:p>
    <w:p w14:paraId="4E71568D" w14:textId="77777777" w:rsidR="000C331A" w:rsidRDefault="00000000">
      <w:pPr>
        <w:pStyle w:val="Heading2"/>
      </w:pPr>
      <w:r>
        <w:t>4  Derived Relations and Physical Analogues</w:t>
      </w:r>
    </w:p>
    <w:tbl>
      <w:tblPr>
        <w:tblStyle w:val="LightGrid"/>
        <w:tblW w:w="0" w:type="auto"/>
        <w:tblLook w:val="04A0" w:firstRow="1" w:lastRow="0" w:firstColumn="1" w:lastColumn="0" w:noHBand="0" w:noVBand="1"/>
      </w:tblPr>
      <w:tblGrid>
        <w:gridCol w:w="2880"/>
        <w:gridCol w:w="2880"/>
        <w:gridCol w:w="2880"/>
      </w:tblGrid>
      <w:tr w:rsidR="000C331A" w14:paraId="5AB45EEC" w14:textId="77777777" w:rsidTr="000C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123563" w14:textId="77777777" w:rsidR="000C331A" w:rsidRDefault="00000000">
            <w:r>
              <w:t>Relation</w:t>
            </w:r>
          </w:p>
        </w:tc>
        <w:tc>
          <w:tcPr>
            <w:tcW w:w="2880" w:type="dxa"/>
          </w:tcPr>
          <w:p w14:paraId="6E9712D2" w14:textId="77777777" w:rsidR="000C331A" w:rsidRDefault="00000000">
            <w:pPr>
              <w:cnfStyle w:val="100000000000" w:firstRow="1" w:lastRow="0" w:firstColumn="0" w:lastColumn="0" w:oddVBand="0" w:evenVBand="0" w:oddHBand="0" w:evenHBand="0" w:firstRowFirstColumn="0" w:firstRowLastColumn="0" w:lastRowFirstColumn="0" w:lastRowLastColumn="0"/>
            </w:pPr>
            <w:r>
              <w:t>Equation</w:t>
            </w:r>
          </w:p>
        </w:tc>
        <w:tc>
          <w:tcPr>
            <w:tcW w:w="2880" w:type="dxa"/>
          </w:tcPr>
          <w:p w14:paraId="34B9E5DF" w14:textId="77777777" w:rsidR="000C331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C331A" w14:paraId="7511CCC2" w14:textId="77777777" w:rsidTr="000C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A6571" w14:textId="77777777" w:rsidR="000C331A" w:rsidRDefault="00000000">
            <w:r>
              <w:t>Lorentz analogue</w:t>
            </w:r>
          </w:p>
        </w:tc>
        <w:tc>
          <w:tcPr>
            <w:tcW w:w="2880" w:type="dxa"/>
          </w:tcPr>
          <w:p w14:paraId="2802747F" w14:textId="77777777" w:rsidR="000C331A" w:rsidRDefault="00000000">
            <w:pPr>
              <w:cnfStyle w:val="000000100000" w:firstRow="0" w:lastRow="0" w:firstColumn="0" w:lastColumn="0" w:oddVBand="0" w:evenVBand="0" w:oddHBand="1" w:evenHBand="0" w:firstRowFirstColumn="0" w:firstRowLastColumn="0" w:lastRowFirstColumn="0" w:lastRowLastColumn="0"/>
            </w:pPr>
            <w:r>
              <w:t>ω² = c²k² + χ²</w:t>
            </w:r>
          </w:p>
        </w:tc>
        <w:tc>
          <w:tcPr>
            <w:tcW w:w="2880" w:type="dxa"/>
          </w:tcPr>
          <w:p w14:paraId="013BFAD1" w14:textId="77777777" w:rsidR="000C331A" w:rsidRDefault="00000000">
            <w:pPr>
              <w:cnfStyle w:val="000000100000" w:firstRow="0" w:lastRow="0" w:firstColumn="0" w:lastColumn="0" w:oddVBand="0" w:evenVBand="0" w:oddHBand="1" w:evenHBand="0" w:firstRowFirstColumn="0" w:firstRowLastColumn="0" w:lastRowFirstColumn="0" w:lastRowLastColumn="0"/>
            </w:pPr>
            <w:r>
              <w:t xml:space="preserve">Dispersion law showing </w:t>
            </w:r>
            <w:r>
              <w:lastRenderedPageBreak/>
              <w:t>relativistic symmetry</w:t>
            </w:r>
          </w:p>
        </w:tc>
      </w:tr>
      <w:tr w:rsidR="000C331A" w14:paraId="5313D78D" w14:textId="77777777" w:rsidTr="000C33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92E75" w14:textId="77777777" w:rsidR="000C331A" w:rsidRDefault="00000000">
            <w:r>
              <w:lastRenderedPageBreak/>
              <w:t>Energy conservation</w:t>
            </w:r>
          </w:p>
        </w:tc>
        <w:tc>
          <w:tcPr>
            <w:tcW w:w="2880" w:type="dxa"/>
          </w:tcPr>
          <w:p w14:paraId="7AA806CE" w14:textId="77777777" w:rsidR="000C331A" w:rsidRDefault="00000000">
            <w:pPr>
              <w:cnfStyle w:val="000000010000" w:firstRow="0" w:lastRow="0" w:firstColumn="0" w:lastColumn="0" w:oddVBand="0" w:evenVBand="0" w:oddHBand="0" w:evenHBand="1" w:firstRowFirstColumn="0" w:firstRowLastColumn="0" w:lastRowFirstColumn="0" w:lastRowLastColumn="0"/>
            </w:pPr>
            <w:r>
              <w:t>ΣE(t+1) − ΣE(t) = 0</w:t>
            </w:r>
          </w:p>
        </w:tc>
        <w:tc>
          <w:tcPr>
            <w:tcW w:w="2880" w:type="dxa"/>
          </w:tcPr>
          <w:p w14:paraId="1B1A17E8" w14:textId="77777777" w:rsidR="000C331A" w:rsidRDefault="00000000">
            <w:pPr>
              <w:cnfStyle w:val="000000010000" w:firstRow="0" w:lastRow="0" w:firstColumn="0" w:lastColumn="0" w:oddVBand="0" w:evenVBand="0" w:oddHBand="0" w:evenHBand="1" w:firstRowFirstColumn="0" w:firstRowLastColumn="0" w:lastRowFirstColumn="0" w:lastRowLastColumn="0"/>
            </w:pPr>
            <w:r>
              <w:t>Ensures stability and local reversibility</w:t>
            </w:r>
          </w:p>
        </w:tc>
      </w:tr>
      <w:tr w:rsidR="000C331A" w14:paraId="7EC544B1" w14:textId="77777777" w:rsidTr="000C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125DF" w14:textId="77777777" w:rsidR="000C331A" w:rsidRDefault="00000000">
            <w:r>
              <w:t>Quantized exchange</w:t>
            </w:r>
          </w:p>
        </w:tc>
        <w:tc>
          <w:tcPr>
            <w:tcW w:w="2880" w:type="dxa"/>
          </w:tcPr>
          <w:p w14:paraId="4D56BA32" w14:textId="77777777" w:rsidR="000C331A" w:rsidRDefault="00000000">
            <w:pPr>
              <w:cnfStyle w:val="000000100000" w:firstRow="0" w:lastRow="0" w:firstColumn="0" w:lastColumn="0" w:oddVBand="0" w:evenVBand="0" w:oddHBand="1" w:evenHBand="0" w:firstRowFirstColumn="0" w:firstRowLastColumn="0" w:lastRowFirstColumn="0" w:lastRowLastColumn="0"/>
            </w:pPr>
            <w:r>
              <w:t>ΔE = nℏ_eff</w:t>
            </w:r>
          </w:p>
        </w:tc>
        <w:tc>
          <w:tcPr>
            <w:tcW w:w="2880" w:type="dxa"/>
          </w:tcPr>
          <w:p w14:paraId="1331F65F" w14:textId="77777777" w:rsidR="000C331A" w:rsidRDefault="00000000">
            <w:pPr>
              <w:cnfStyle w:val="000000100000" w:firstRow="0" w:lastRow="0" w:firstColumn="0" w:lastColumn="0" w:oddVBand="0" w:evenVBand="0" w:oddHBand="1" w:evenHBand="0" w:firstRowFirstColumn="0" w:firstRowLastColumn="0" w:lastRowFirstColumn="0" w:lastRowLastColumn="0"/>
            </w:pPr>
            <w:r>
              <w:t>Discrete energy quanta from time-step granularity</w:t>
            </w:r>
          </w:p>
        </w:tc>
      </w:tr>
      <w:tr w:rsidR="000C331A" w14:paraId="1E912726" w14:textId="77777777" w:rsidTr="000C33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9449E" w14:textId="77777777" w:rsidR="000C331A" w:rsidRDefault="00000000">
            <w:r>
              <w:t>Cosmological expansion</w:t>
            </w:r>
          </w:p>
        </w:tc>
        <w:tc>
          <w:tcPr>
            <w:tcW w:w="2880" w:type="dxa"/>
          </w:tcPr>
          <w:p w14:paraId="3FFA473A" w14:textId="77777777" w:rsidR="000C331A" w:rsidRDefault="00000000">
            <w:pPr>
              <w:cnfStyle w:val="000000010000" w:firstRow="0" w:lastRow="0" w:firstColumn="0" w:lastColumn="0" w:oddVBand="0" w:evenVBand="0" w:oddHBand="0" w:evenHBand="1" w:firstRowFirstColumn="0" w:firstRowLastColumn="0" w:lastRowFirstColumn="0" w:lastRowLastColumn="0"/>
            </w:pPr>
            <w:r>
              <w:t>E_{t+1} = E_t + α∇²E − nH E</w:t>
            </w:r>
          </w:p>
        </w:tc>
        <w:tc>
          <w:tcPr>
            <w:tcW w:w="2880" w:type="dxa"/>
          </w:tcPr>
          <w:p w14:paraId="7F8B5036" w14:textId="77777777" w:rsidR="000C331A" w:rsidRDefault="00000000">
            <w:pPr>
              <w:cnfStyle w:val="000000010000" w:firstRow="0" w:lastRow="0" w:firstColumn="0" w:lastColumn="0" w:oddVBand="0" w:evenVBand="0" w:oddHBand="0" w:evenHBand="1" w:firstRowFirstColumn="0" w:firstRowLastColumn="0" w:lastRowFirstColumn="0" w:lastRowLastColumn="0"/>
            </w:pPr>
            <w:r>
              <w:t>χ-feedback introduces cosmic scaling</w:t>
            </w:r>
          </w:p>
        </w:tc>
      </w:tr>
    </w:tbl>
    <w:p w14:paraId="41979646" w14:textId="77777777" w:rsidR="000C331A" w:rsidRDefault="00000000">
      <w:pPr>
        <w:pStyle w:val="Heading2"/>
      </w:pPr>
      <w:r>
        <w:t>5  Electromagnetic and Inertial Extensions</w:t>
      </w:r>
    </w:p>
    <w:p w14:paraId="6F6CE17B" w14:textId="77777777" w:rsidR="000C331A" w:rsidRDefault="00000000">
      <w:r>
        <w:t>The LFM lattice supports electromagnetic and inertial analogues without adding new fields. Discrete Maxwell-like updates yield transverse oscillations, while spatial variations in χ produce effective mass and inertia.</w:t>
      </w:r>
    </w:p>
    <w:p w14:paraId="3F1314A9" w14:textId="77777777" w:rsidR="000C331A" w:rsidRDefault="00000000">
      <w:r>
        <w:t>Discrete EM Coupling (Eq. 5-1, 5-2):</w:t>
      </w:r>
    </w:p>
    <w:p w14:paraId="5A0C5D4D" w14:textId="77777777" w:rsidR="000C331A" w:rsidRDefault="00000000">
      <w:r>
        <w:t>E_{I,t+1} = E_{I,t} + α(φ_{i+1,t} − φ_{i−1,t}) − βB_{I,t}</w:t>
      </w:r>
    </w:p>
    <w:p w14:paraId="27643EDF" w14:textId="77777777" w:rsidR="000C331A" w:rsidRDefault="00000000">
      <w:r>
        <w:t>B_{I,t+1} = B_{I,t} + β(φ_{i+1,t} − φ_{i−1,t}) + αE_{I,t}</w:t>
      </w:r>
    </w:p>
    <w:p w14:paraId="4BCCBA11" w14:textId="77777777" w:rsidR="000C331A" w:rsidRDefault="00000000">
      <w:pPr>
        <w:pStyle w:val="Heading2"/>
      </w:pPr>
      <w:r>
        <w:t>6  Lorentz Continuum Limit</w:t>
      </w:r>
    </w:p>
    <w:p w14:paraId="080AFBD7" w14:textId="77777777" w:rsidR="000C331A" w:rsidRDefault="00000000">
      <w:r>
        <w:t>Starting from the discrete update rule and applying Taylor expansion in time, the LFM equation reduces to:</w:t>
      </w:r>
      <w:r>
        <w:br/>
      </w:r>
      <w:r>
        <w:br/>
        <w:t>∂²E/∂t² = c² ∇²E,  with c² = α/β.</w:t>
      </w:r>
      <w:r>
        <w:br/>
      </w:r>
      <w:r>
        <w:br/>
        <w:t>This form is invariant under Lorentz transformations, demonstrating that relativity emerges naturally from local lattice dynamics.</w:t>
      </w:r>
    </w:p>
    <w:p w14:paraId="286C1C88" w14:textId="77777777" w:rsidR="000C331A" w:rsidRDefault="00000000">
      <w:pPr>
        <w:pStyle w:val="Heading2"/>
      </w:pPr>
      <w:r>
        <w:t>7  Quantization from Discreteness</w:t>
      </w:r>
    </w:p>
    <w:p w14:paraId="568F5470" w14:textId="77777777" w:rsidR="000C331A" w:rsidRDefault="00000000">
      <w:r>
        <w:t>Quantization arises from the finite time-step Δt. The minimal exchange of energy per step defines ℏ_eff = ΔE_min Δt. The energy–frequency relation becomes E = ℏ_eff ω, and the momentum–wavelength relation p = ℏ_eff k, reproducing the de Broglie relation.</w:t>
      </w:r>
    </w:p>
    <w:p w14:paraId="53A72E05" w14:textId="77777777" w:rsidR="000C331A" w:rsidRDefault="00000000">
      <w:pPr>
        <w:pStyle w:val="Heading2"/>
      </w:pPr>
      <w:r>
        <w:t>8  Dynamic χ Feedback and Cosmological Scaling</w:t>
      </w:r>
    </w:p>
    <w:p w14:paraId="4F9D4DC8" w14:textId="77777777" w:rsidR="000C331A" w:rsidRDefault="00000000">
      <w:r>
        <w:t>The curvature field χ evolves according to the feedback law:</w:t>
      </w:r>
      <w:r>
        <w:br/>
      </w:r>
      <w:r>
        <w:br/>
        <w:t>dχ/dt = κ(ρ_ref − ρ_E) − γ χ ρ_E.</w:t>
      </w:r>
      <w:r>
        <w:br/>
      </w:r>
      <w:r>
        <w:br/>
        <w:t>This rule produces self-limiting cosmic expansion and links local energy density to curvature dynamics.</w:t>
      </w:r>
    </w:p>
    <w:p w14:paraId="60BDD4EF" w14:textId="77777777" w:rsidR="000C331A" w:rsidRDefault="00000000">
      <w:r>
        <w:t>Edge-creation condition:</w:t>
      </w:r>
      <w:r>
        <w:br/>
        <w:t>if |∂E/∂r| &gt; E_th → new cell at boundary.</w:t>
      </w:r>
      <w:r>
        <w:br/>
      </w:r>
      <w:r>
        <w:br/>
        <w:t>This mechanism replaces the classical singular Big Bang with a deterministic expansion cascade.</w:t>
      </w:r>
    </w:p>
    <w:p w14:paraId="6D9EC883" w14:textId="77777777" w:rsidR="000C331A" w:rsidRDefault="00000000">
      <w:pPr>
        <w:pStyle w:val="Heading2"/>
      </w:pPr>
      <w:r>
        <w:lastRenderedPageBreak/>
        <w:t>9  Variational Gravity for χ</w:t>
      </w:r>
    </w:p>
    <w:p w14:paraId="7F7F34CF" w14:textId="77777777" w:rsidR="000C331A" w:rsidRDefault="00000000">
      <w:r>
        <w:t>Promoting χ to a dynamic field yields coupled Euler–Lagrange equations:</w:t>
      </w:r>
      <w:r>
        <w:br/>
      </w:r>
      <w:r>
        <w:br/>
        <w:t>σ_χ(∂ₜ²χ − v_χ²∇²χ) + V′(χ) = g_χE² + κ_EM(|𝔈|² + c²|𝔅|²).</w:t>
      </w:r>
      <w:r>
        <w:br/>
      </w:r>
      <w:r>
        <w:br/>
        <w:t>In the weak-field limit, ∇²Φ = 4πG_effρ_eff reproduces Newtonian gravity and redshift/lensing analogues.</w:t>
      </w:r>
    </w:p>
    <w:p w14:paraId="4E19E6B4" w14:textId="77777777" w:rsidR="000C331A" w:rsidRDefault="00000000">
      <w:pPr>
        <w:pStyle w:val="Heading2"/>
      </w:pPr>
      <w:r>
        <w:t>10  Numerical Stability and Validation</w:t>
      </w:r>
    </w:p>
    <w:p w14:paraId="52B46AD2" w14:textId="77777777" w:rsidR="000C331A" w:rsidRDefault="00000000">
      <w:r>
        <w:t>Stable simulation requires Courant–Friedrichs–Lewy (CFL) bounds and energy diagnostics. For 3D grids, (cΔt/Δx) ≤ 1/√3 ensures stability. Energy conservation requires |ΔΣE|/ΣE &lt; 1×10⁻³ over 10³ steps.</w:t>
      </w:r>
    </w:p>
    <w:p w14:paraId="6E72D58D" w14:textId="77777777" w:rsidR="000C331A" w:rsidRDefault="00000000">
      <w:r>
        <w:t>Additional checks include isotropy CoV &lt; 1 %, reflection suppression below −40 dB, and reproducible backward integration within 10⁻³ precision.</w:t>
      </w:r>
    </w:p>
    <w:p w14:paraId="46776534" w14:textId="77777777" w:rsidR="000C331A" w:rsidRDefault="00000000">
      <w:pPr>
        <w:pStyle w:val="Heading2"/>
      </w:pPr>
      <w:r>
        <w:t>11  Relation to Known PDE Classes</w:t>
      </w:r>
    </w:p>
    <w:tbl>
      <w:tblPr>
        <w:tblStyle w:val="LightGrid"/>
        <w:tblW w:w="0" w:type="auto"/>
        <w:tblLook w:val="04A0" w:firstRow="1" w:lastRow="0" w:firstColumn="1" w:lastColumn="0" w:noHBand="0" w:noVBand="1"/>
      </w:tblPr>
      <w:tblGrid>
        <w:gridCol w:w="2160"/>
        <w:gridCol w:w="2160"/>
        <w:gridCol w:w="2160"/>
        <w:gridCol w:w="2160"/>
      </w:tblGrid>
      <w:tr w:rsidR="000C331A" w14:paraId="6BB4A9C5" w14:textId="77777777" w:rsidTr="000C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7253C7" w14:textId="77777777" w:rsidR="000C331A" w:rsidRDefault="00000000">
            <w:r>
              <w:t>PDE Class</w:t>
            </w:r>
          </w:p>
        </w:tc>
        <w:tc>
          <w:tcPr>
            <w:tcW w:w="2160" w:type="dxa"/>
          </w:tcPr>
          <w:p w14:paraId="5604FBF8" w14:textId="77777777" w:rsidR="000C331A" w:rsidRDefault="00000000">
            <w:pPr>
              <w:cnfStyle w:val="100000000000" w:firstRow="1" w:lastRow="0" w:firstColumn="0" w:lastColumn="0" w:oddVBand="0" w:evenVBand="0" w:oddHBand="0" w:evenHBand="0" w:firstRowFirstColumn="0" w:firstRowLastColumn="0" w:lastRowFirstColumn="0" w:lastRowLastColumn="0"/>
            </w:pPr>
            <w:r>
              <w:t>Canonical Form</w:t>
            </w:r>
          </w:p>
        </w:tc>
        <w:tc>
          <w:tcPr>
            <w:tcW w:w="2160" w:type="dxa"/>
          </w:tcPr>
          <w:p w14:paraId="18432A8B" w14:textId="77777777" w:rsidR="000C331A" w:rsidRDefault="00000000">
            <w:pPr>
              <w:cnfStyle w:val="100000000000" w:firstRow="1" w:lastRow="0" w:firstColumn="0" w:lastColumn="0" w:oddVBand="0" w:evenVBand="0" w:oddHBand="0" w:evenHBand="0" w:firstRowFirstColumn="0" w:firstRowLastColumn="0" w:lastRowFirstColumn="0" w:lastRowLastColumn="0"/>
            </w:pPr>
            <w:r>
              <w:t>Relation to LFM</w:t>
            </w:r>
          </w:p>
        </w:tc>
        <w:tc>
          <w:tcPr>
            <w:tcW w:w="2160" w:type="dxa"/>
          </w:tcPr>
          <w:p w14:paraId="63C3DAFB" w14:textId="77777777" w:rsidR="000C331A" w:rsidRDefault="00000000">
            <w:pPr>
              <w:cnfStyle w:val="100000000000" w:firstRow="1" w:lastRow="0" w:firstColumn="0" w:lastColumn="0" w:oddVBand="0" w:evenVBand="0" w:oddHBand="0" w:evenHBand="0" w:firstRowFirstColumn="0" w:firstRowLastColumn="0" w:lastRowFirstColumn="0" w:lastRowLastColumn="0"/>
            </w:pPr>
            <w:r>
              <w:t>Reference</w:t>
            </w:r>
          </w:p>
        </w:tc>
      </w:tr>
      <w:tr w:rsidR="000C331A" w14:paraId="7BCF749F" w14:textId="77777777" w:rsidTr="000C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1DB90" w14:textId="77777777" w:rsidR="000C331A" w:rsidRDefault="00000000">
            <w:r>
              <w:t>Klein–Gordon</w:t>
            </w:r>
          </w:p>
        </w:tc>
        <w:tc>
          <w:tcPr>
            <w:tcW w:w="2160" w:type="dxa"/>
          </w:tcPr>
          <w:p w14:paraId="4FB0D37E" w14:textId="77777777" w:rsidR="000C331A" w:rsidRDefault="00000000">
            <w:pPr>
              <w:cnfStyle w:val="000000100000" w:firstRow="0" w:lastRow="0" w:firstColumn="0" w:lastColumn="0" w:oddVBand="0" w:evenVBand="0" w:oddHBand="1" w:evenHBand="0" w:firstRowFirstColumn="0" w:firstRowLastColumn="0" w:lastRowFirstColumn="0" w:lastRowLastColumn="0"/>
            </w:pPr>
            <w:r>
              <w:t>E_tt − c²∇²E + m²E = 0</w:t>
            </w:r>
          </w:p>
        </w:tc>
        <w:tc>
          <w:tcPr>
            <w:tcW w:w="2160" w:type="dxa"/>
          </w:tcPr>
          <w:p w14:paraId="4DAE5ABF" w14:textId="77777777" w:rsidR="000C331A" w:rsidRDefault="00000000">
            <w:pPr>
              <w:cnfStyle w:val="000000100000" w:firstRow="0" w:lastRow="0" w:firstColumn="0" w:lastColumn="0" w:oddVBand="0" w:evenVBand="0" w:oddHBand="1" w:evenHBand="0" w:firstRowFirstColumn="0" w:firstRowLastColumn="0" w:lastRowFirstColumn="0" w:lastRowLastColumn="0"/>
            </w:pPr>
            <w:r>
              <w:t>LFM with constant χ</w:t>
            </w:r>
          </w:p>
        </w:tc>
        <w:tc>
          <w:tcPr>
            <w:tcW w:w="2160" w:type="dxa"/>
          </w:tcPr>
          <w:p w14:paraId="34DC204A" w14:textId="77777777" w:rsidR="000C331A" w:rsidRDefault="00000000">
            <w:pPr>
              <w:cnfStyle w:val="000000100000" w:firstRow="0" w:lastRow="0" w:firstColumn="0" w:lastColumn="0" w:oddVBand="0" w:evenVBand="0" w:oddHBand="1" w:evenHBand="0" w:firstRowFirstColumn="0" w:firstRowLastColumn="0" w:lastRowFirstColumn="0" w:lastRowLastColumn="0"/>
            </w:pPr>
            <w:r>
              <w:t>—</w:t>
            </w:r>
          </w:p>
        </w:tc>
      </w:tr>
      <w:tr w:rsidR="000C331A" w14:paraId="370B1A90" w14:textId="77777777" w:rsidTr="000C33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B9EB60" w14:textId="77777777" w:rsidR="000C331A" w:rsidRDefault="00000000">
            <w:r>
              <w:t>Variable-mass KG</w:t>
            </w:r>
          </w:p>
        </w:tc>
        <w:tc>
          <w:tcPr>
            <w:tcW w:w="2160" w:type="dxa"/>
          </w:tcPr>
          <w:p w14:paraId="5787A634" w14:textId="77777777" w:rsidR="000C331A" w:rsidRDefault="00000000">
            <w:pPr>
              <w:cnfStyle w:val="000000010000" w:firstRow="0" w:lastRow="0" w:firstColumn="0" w:lastColumn="0" w:oddVBand="0" w:evenVBand="0" w:oddHBand="0" w:evenHBand="1" w:firstRowFirstColumn="0" w:firstRowLastColumn="0" w:lastRowFirstColumn="0" w:lastRowLastColumn="0"/>
            </w:pPr>
            <w:r>
              <w:t>E_tt − c²∇²E + χ(x,t)²E = 0</w:t>
            </w:r>
          </w:p>
        </w:tc>
        <w:tc>
          <w:tcPr>
            <w:tcW w:w="2160" w:type="dxa"/>
          </w:tcPr>
          <w:p w14:paraId="09FFFB0D" w14:textId="77777777" w:rsidR="000C331A" w:rsidRDefault="00000000">
            <w:pPr>
              <w:cnfStyle w:val="000000010000" w:firstRow="0" w:lastRow="0" w:firstColumn="0" w:lastColumn="0" w:oddVBand="0" w:evenVBand="0" w:oddHBand="0" w:evenHBand="1" w:firstRowFirstColumn="0" w:firstRowLastColumn="0" w:lastRowFirstColumn="0" w:lastRowLastColumn="0"/>
            </w:pPr>
            <w:r>
              <w:t>Identical continuum form</w:t>
            </w:r>
          </w:p>
        </w:tc>
        <w:tc>
          <w:tcPr>
            <w:tcW w:w="2160" w:type="dxa"/>
          </w:tcPr>
          <w:p w14:paraId="3C4ED340" w14:textId="77777777" w:rsidR="000C331A" w:rsidRDefault="00000000">
            <w:pPr>
              <w:cnfStyle w:val="000000010000" w:firstRow="0" w:lastRow="0" w:firstColumn="0" w:lastColumn="0" w:oddVBand="0" w:evenVBand="0" w:oddHBand="0" w:evenHBand="1" w:firstRowFirstColumn="0" w:firstRowLastColumn="0" w:lastRowFirstColumn="0" w:lastRowLastColumn="0"/>
            </w:pPr>
            <w:r>
              <w:t>Ebert &amp; Nascimento (2017)</w:t>
            </w:r>
          </w:p>
        </w:tc>
      </w:tr>
      <w:tr w:rsidR="000C331A" w14:paraId="0422C637" w14:textId="77777777" w:rsidTr="000C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6D7C3" w14:textId="77777777" w:rsidR="000C331A" w:rsidRDefault="00000000">
            <w:r>
              <w:t>Helmholtz</w:t>
            </w:r>
          </w:p>
        </w:tc>
        <w:tc>
          <w:tcPr>
            <w:tcW w:w="2160" w:type="dxa"/>
          </w:tcPr>
          <w:p w14:paraId="61901853" w14:textId="77777777" w:rsidR="000C331A" w:rsidRDefault="00000000">
            <w:pPr>
              <w:cnfStyle w:val="000000100000" w:firstRow="0" w:lastRow="0" w:firstColumn="0" w:lastColumn="0" w:oddVBand="0" w:evenVBand="0" w:oddHBand="1" w:evenHBand="0" w:firstRowFirstColumn="0" w:firstRowLastColumn="0" w:lastRowFirstColumn="0" w:lastRowLastColumn="0"/>
            </w:pPr>
            <w:r>
              <w:t>∇²u + k_eff²(x)u = 0</w:t>
            </w:r>
          </w:p>
        </w:tc>
        <w:tc>
          <w:tcPr>
            <w:tcW w:w="2160" w:type="dxa"/>
          </w:tcPr>
          <w:p w14:paraId="700202BD" w14:textId="77777777" w:rsidR="000C331A" w:rsidRDefault="00000000">
            <w:pPr>
              <w:cnfStyle w:val="000000100000" w:firstRow="0" w:lastRow="0" w:firstColumn="0" w:lastColumn="0" w:oddVBand="0" w:evenVBand="0" w:oddHBand="1" w:evenHBand="0" w:firstRowFirstColumn="0" w:firstRowLastColumn="0" w:lastRowFirstColumn="0" w:lastRowLastColumn="0"/>
            </w:pPr>
            <w:r>
              <w:t>Time-harmonic analogue</w:t>
            </w:r>
          </w:p>
        </w:tc>
        <w:tc>
          <w:tcPr>
            <w:tcW w:w="2160" w:type="dxa"/>
          </w:tcPr>
          <w:p w14:paraId="182FFDA8" w14:textId="77777777" w:rsidR="000C331A" w:rsidRDefault="00000000">
            <w:pPr>
              <w:cnfStyle w:val="000000100000" w:firstRow="0" w:lastRow="0" w:firstColumn="0" w:lastColumn="0" w:oddVBand="0" w:evenVBand="0" w:oddHBand="1" w:evenHBand="0" w:firstRowFirstColumn="0" w:firstRowLastColumn="0" w:lastRowFirstColumn="0" w:lastRowLastColumn="0"/>
            </w:pPr>
            <w:r>
              <w:t>Yagdjian (2012)</w:t>
            </w:r>
          </w:p>
        </w:tc>
      </w:tr>
      <w:tr w:rsidR="000C331A" w14:paraId="44547A79" w14:textId="77777777" w:rsidTr="000C33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1AD797" w14:textId="77777777" w:rsidR="000C331A" w:rsidRDefault="00000000">
            <w:r>
              <w:t>Quantum-walk lattices</w:t>
            </w:r>
          </w:p>
        </w:tc>
        <w:tc>
          <w:tcPr>
            <w:tcW w:w="2160" w:type="dxa"/>
          </w:tcPr>
          <w:p w14:paraId="31CD8AC2" w14:textId="77777777" w:rsidR="000C331A" w:rsidRDefault="00000000">
            <w:pPr>
              <w:cnfStyle w:val="000000010000" w:firstRow="0" w:lastRow="0" w:firstColumn="0" w:lastColumn="0" w:oddVBand="0" w:evenVBand="0" w:oddHBand="0" w:evenHBand="1" w:firstRowFirstColumn="0" w:firstRowLastColumn="0" w:lastRowFirstColumn="0" w:lastRowLastColumn="0"/>
            </w:pPr>
            <w:r>
              <w:t>Discrete Dirac/KG</w:t>
            </w:r>
          </w:p>
        </w:tc>
        <w:tc>
          <w:tcPr>
            <w:tcW w:w="2160" w:type="dxa"/>
          </w:tcPr>
          <w:p w14:paraId="3550F238" w14:textId="77777777" w:rsidR="000C331A" w:rsidRDefault="00000000">
            <w:pPr>
              <w:cnfStyle w:val="000000010000" w:firstRow="0" w:lastRow="0" w:firstColumn="0" w:lastColumn="0" w:oddVBand="0" w:evenVBand="0" w:oddHBand="0" w:evenHBand="1" w:firstRowFirstColumn="0" w:firstRowLastColumn="0" w:lastRowFirstColumn="0" w:lastRowLastColumn="0"/>
            </w:pPr>
            <w:r>
              <w:t>Emergent Lorentz symmetry</w:t>
            </w:r>
          </w:p>
        </w:tc>
        <w:tc>
          <w:tcPr>
            <w:tcW w:w="2160" w:type="dxa"/>
          </w:tcPr>
          <w:p w14:paraId="7D691B97" w14:textId="77777777" w:rsidR="000C331A" w:rsidRDefault="00000000">
            <w:pPr>
              <w:cnfStyle w:val="000000010000" w:firstRow="0" w:lastRow="0" w:firstColumn="0" w:lastColumn="0" w:oddVBand="0" w:evenVBand="0" w:oddHBand="0" w:evenHBand="1" w:firstRowFirstColumn="0" w:firstRowLastColumn="0" w:lastRowFirstColumn="0" w:lastRowLastColumn="0"/>
            </w:pPr>
            <w:r>
              <w:t>Bisio et al. (2015)</w:t>
            </w:r>
          </w:p>
        </w:tc>
      </w:tr>
    </w:tbl>
    <w:p w14:paraId="77EB4F4B" w14:textId="77777777" w:rsidR="000C331A" w:rsidRDefault="00000000">
      <w:pPr>
        <w:pStyle w:val="Heading2"/>
      </w:pPr>
      <w:r>
        <w:t>12  Summary and Outlook</w:t>
      </w:r>
    </w:p>
    <w:p w14:paraId="194DDA33" w14:textId="77777777" w:rsidR="000C331A" w:rsidRDefault="00000000">
      <w:r>
        <w:t>The Lattice-Field Medium provides a deterministic, Lorentz-symmetric framework where quantization, inertia, gravity, and cosmic expansion emerge from one discrete rule. All formulations preserve conservation, isotropy, and CPT symmetry. Tier 1–3 validations confirm numerical stability and physical coherence, forming the foundation for higher-tier exploration.</w:t>
      </w:r>
    </w:p>
    <w:sectPr w:rsidR="000C33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676176">
    <w:abstractNumId w:val="8"/>
  </w:num>
  <w:num w:numId="2" w16cid:durableId="1782189914">
    <w:abstractNumId w:val="6"/>
  </w:num>
  <w:num w:numId="3" w16cid:durableId="1745296517">
    <w:abstractNumId w:val="5"/>
  </w:num>
  <w:num w:numId="4" w16cid:durableId="257758242">
    <w:abstractNumId w:val="4"/>
  </w:num>
  <w:num w:numId="5" w16cid:durableId="374546915">
    <w:abstractNumId w:val="7"/>
  </w:num>
  <w:num w:numId="6" w16cid:durableId="754009258">
    <w:abstractNumId w:val="3"/>
  </w:num>
  <w:num w:numId="7" w16cid:durableId="276911905">
    <w:abstractNumId w:val="2"/>
  </w:num>
  <w:num w:numId="8" w16cid:durableId="2099717918">
    <w:abstractNumId w:val="1"/>
  </w:num>
  <w:num w:numId="9" w16cid:durableId="77752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1A"/>
    <w:rsid w:val="0015074B"/>
    <w:rsid w:val="0029639D"/>
    <w:rsid w:val="00296DF2"/>
    <w:rsid w:val="00326F90"/>
    <w:rsid w:val="00AA1D8D"/>
    <w:rsid w:val="00B47730"/>
    <w:rsid w:val="00CB0664"/>
    <w:rsid w:val="00D65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2A57A"/>
  <w14:defaultImageDpi w14:val="300"/>
  <w15:docId w15:val="{F986F9A7-86B6-478F-AC7A-7833A8F0A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Partin</cp:lastModifiedBy>
  <cp:revision>2</cp:revision>
  <dcterms:created xsi:type="dcterms:W3CDTF">2013-12-23T23:15:00Z</dcterms:created>
  <dcterms:modified xsi:type="dcterms:W3CDTF">2025-10-26T18:55:00Z</dcterms:modified>
  <cp:category/>
</cp:coreProperties>
</file>