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Lattice-Field Medium (LFM): OSF Abstract</w:t>
      </w:r>
    </w:p>
    <w:p>
      <w:r>
        <w:t>Version 2.0 — 2025-10-24 | Greg D. Partin | LFM Research — Los Angeles CA USA</w:t>
      </w:r>
    </w:p>
    <w:p>
      <w:r>
        <w:t>The Lattice-Field Medium (LFM) models spacetime as a discrete lattice of locally interacting energy cells. Each cell’s evolution follows ∂²E/∂t² = c²∇²E − χ²(x,t)E, with c² = α/β. This deterministic relation reproduces relativity, gravitation, and quantization as emergent effects. GPU-accelerated simulations confirm isotropy and conservation to within 10⁻⁴ over 10³ steps. Tier 1–3 validations demonstrate Lorentz symmetry, redshift analogues, and self-consistent energy balance. LFM thus provides a unified, falsifiable framework where classical, quantum, and cosmological phenomena arise from one discrete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