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12EB" w14:textId="41FF8E37" w:rsidR="6A96F447" w:rsidRPr="00DA1A74" w:rsidRDefault="00DA1A74">
      <w:pPr>
        <w:rPr>
          <w:rFonts w:ascii="Arial" w:hAnsi="Arial" w:cs="Arial"/>
          <w:color w:val="FF0000"/>
          <w:sz w:val="24"/>
          <w:szCs w:val="24"/>
        </w:rPr>
      </w:pPr>
      <w:bookmarkStart w:id="0" w:name="_GoBack"/>
      <w:r w:rsidRPr="00DA1A74">
        <w:rPr>
          <w:rFonts w:ascii="Arial" w:hAnsi="Arial" w:cs="Arial"/>
          <w:color w:val="FF0000"/>
          <w:sz w:val="24"/>
          <w:szCs w:val="24"/>
        </w:rPr>
        <w:t xml:space="preserve">CHECK </w:t>
      </w:r>
      <w:proofErr w:type="spellStart"/>
      <w:r w:rsidRPr="00DA1A74">
        <w:rPr>
          <w:rFonts w:ascii="Arial" w:hAnsi="Arial" w:cs="Arial"/>
          <w:color w:val="FF0000"/>
          <w:sz w:val="24"/>
          <w:szCs w:val="24"/>
        </w:rPr>
        <w:t>list</w:t>
      </w:r>
      <w:proofErr w:type="spellEnd"/>
      <w:r w:rsidRPr="00DA1A74">
        <w:rPr>
          <w:rFonts w:ascii="Arial" w:hAnsi="Arial" w:cs="Arial"/>
          <w:color w:val="FF0000"/>
          <w:sz w:val="24"/>
          <w:szCs w:val="24"/>
        </w:rPr>
        <w:t xml:space="preserve"> guia para entrevista</w:t>
      </w:r>
    </w:p>
    <w:bookmarkEnd w:id="0"/>
    <w:p w14:paraId="03FFB7B7" w14:textId="043791E5" w:rsidR="00DA1A74" w:rsidRDefault="00DA1A74"/>
    <w:p w14:paraId="62E4AA53" w14:textId="52B22B97" w:rsidR="00DA1A74" w:rsidRDefault="00DA1A74"/>
    <w:sectPr w:rsidR="00DA1A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D16E8F"/>
    <w:rsid w:val="00DA1A74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Guilherme Garcia Paschoalinoto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