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Refinamento (2): Guiding Questions unificadas em perguntas de alto impacto. O resultado esperado é um roadmap essencial dividido em 4 frentes estratégicas (Auditoría e Diagnóstico do Dataset / Anatomia e Fatores de Sucesso / Modelagem Preditiva / Aplicação do Produto e Inteligência de Mercado).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Auditoria e Diagnóstico do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dataset possui valores ausentes, duplicatas ou outliers críticos nas variáveis principais (como popularity, danceability, energy, valence e BPM) que comprometam a confiabilidade da análise?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variável popularity e a distribuição de faixas por gênero são equilibradas ou apresentam forte assimetria (ex: concentração excessiva em notas baixas ou gêneros específicos)?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Anatomia e Fatores de Sucesso (Exploratory Data Analysis)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Quais características musicais (como energy, danceability, valence, tempo) e fatores contextuais (como o gênero musical ou colaborações/feats) diferenciam significativamente as faixas de alta popularidade das demais?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Quais gêneros apresentam maior densidade de hits em relação ao volume total de lançamentos e quais exibem maior volatilidade na popularidade?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Modelagem Preditiva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É possível treinar um modelo de machine learning acurada para estimar a probabilidade de uma faixa atingir alta popularidade, e quais atributos exercem maior poder preditivo nesse processo?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Aplicação de Produto e Inteligência de Mercado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É viável criar um perfil de referência por gênero que permita comparar uma música específica com os hits da categoria, identificando pontos de melhoria técnica?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modelo consegue mapear faixas subestimadas (baixa popularidade atual, mas com alta similaridade estrutural aos hits) para direcionar estratégias de investimento ou relançamento?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