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f208f12" w14:textId="df208f12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rheumatoid arthritis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2016-10-11 22:19:57</w:t>
      </w:r>
    </w:p>
    <w:p>
      <w:pPr>
        <w:pStyle w:val="Normal"/>
      </w:pPr>
      <w:r>
        <w:t xml:space="preserve">End time: 2016-10-11 22:20:06</w:t>
      </w:r>
    </w:p>
    <w:p>
      <w:pPr>
        <w:pStyle w:val="Normal"/>
      </w:pPr>
      <w:r>
        <w:t xml:space="preserve">Duration:  9.96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Number of sample size sets: 4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3</w:t>
      </w:r>
    </w:p>
    <w:p>
      <w:pPr>
        <w:pStyle w:val="Normal"/>
      </w:pPr>
      <w:r>
        <w:t xml:space="preserve">Outcome distribution: Binomial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Pessimist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0.6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1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(Pessimist)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0.7090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0.7750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0.8120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0.8460</w:t>
            </w:r>
          </w:p>
        </w:tc>
      </w:tr>
    </w:tbl>
    <w:p>
      <w:pPr>
        <w:pStyle w:val="Titre2"/>
      </w:pPr>
      <w:r>
        <w:t xml:space="preserve">Outcome Parameter (Standard)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0.9020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0.9640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</w:tbl>
    <w:p>
      <w:pPr>
        <w:pStyle w:val="Titre2"/>
      </w:pPr>
      <w:r>
        <w:t xml:space="preserve">Outcome Parameter (Optimist)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