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1856b9c" w14:textId="b1856b9c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metastatic colorectal cancer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2015-10-08 22:29:05</w:t>
      </w:r>
    </w:p>
    <w:p>
      <w:pPr>
        <w:pStyle w:val="Normal"/>
      </w:pPr>
      <w:r>
        <w:t xml:space="preserve">End time: 2015-10-08 22:30:08</w:t>
      </w:r>
    </w:p>
    <w:p>
      <w:pPr>
        <w:pStyle w:val="Normal"/>
      </w:pPr>
      <w:r>
        <w:t xml:space="preserve">Duration (mins): 1.06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Number of events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Randomization ratio: (1:2)</w:t>
      </w:r>
    </w:p>
    <w:p>
      <w:pPr>
        <w:pStyle w:val="Normal"/>
      </w:pPr>
      <w:r>
        <w:t xml:space="preserve">Number of event sets: 2</w:t>
      </w:r>
    </w:p>
    <w:p>
      <w:pPr>
        <w:pStyle w:val="rTableLegend"/>
      </w:pPr>
      <w:r>
        <w:t xml:space="preserve">Event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Total number of events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210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2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Exponential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rate = 0.116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rate = 0.077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{Treatment}</w:t>
            </w:r>
          </w:p>
        </w:tc>
      </w:tr>
    </w:tbl>
    <w:p>
      <w:pPr>
        <w:pStyle w:val="Titre1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0.7700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2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