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schizophrenia - Several MTPs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10:35:53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10:36:03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10.70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25"/>
        <w:gridCol w:w="3104"/>
        <w:gridCol w:w="157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Normal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812"/>
        <w:gridCol w:w="1853"/>
        <w:gridCol w:w="4135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16,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L}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19.5,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M}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H}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Optimistic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16,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L}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20,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M}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H}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22, SD = 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6"/>
        <w:gridCol w:w="2352"/>
        <w:gridCol w:w="2551"/>
        <w:gridCol w:w="303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L}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M}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H}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No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No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Bonferroni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Bonferroni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Holm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Holm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Hochberg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Hochberg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59"/>
        <w:gridCol w:w="1296"/>
        <w:gridCol w:w="3458"/>
        <w:gridCol w:w="555"/>
        <w:gridCol w:w="3732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 and Multiplicity Adjustment (No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0.5400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0.6220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 and Multiplicity Adjustment (Bonferroni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0.3400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0.5910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0.3760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0.7160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0.6470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0.4150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 and Multiplicity Adjustment (Holm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0.4900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0.6750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0.5330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0.7190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 and Multiplicity Adjustment (Hochberg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0.6900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0.5510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0.7370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 and Multiplicity Adjustment (No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0.9400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0.8500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0.6650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0.9200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 and Multiplicity Adjustment (Bonferroni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0.4160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0.8960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0.6780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0.4640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0.9280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0.7240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 and Multiplicity Adjustment (Holm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0.9060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0.7680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0.8110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 and Multiplicity Adjustment (Hochberg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0.6100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0.6500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0.9610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0.8760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2018-07-16T10:36:10Z</dcterms:modified>
  <cp:version/>
</cp:coreProperties>
</file>