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ECON 899 | Summer 2026</w:t>
      </w:r>
    </w:p>
    <w:p>
      <w:pPr>
        <w:pStyle w:val="Title"/>
        <w:spacing w:after="240"/>
      </w:pPr>
      <w:r>
        <w:t xml:space="preserve">Progress Assignment 3: Polishing</w:t>
      </w:r>
    </w:p>
    <w:p>
      <w:pPr>
        <w:spacing w:after="160"/>
      </w:pPr>
      <w:r>
        <w:rPr>
          <w:b/>
          <w:bCs/>
          <w:i w:val="false"/>
          <w:iCs w:val="false"/>
        </w:rPr>
        <w:t xml:space="preserve">Name: Gil Burghardt</w:t>
      </w:r>
    </w:p>
    <w:p>
      <w:pPr>
        <w:spacing w:after="160"/>
      </w:pPr>
      <w:r>
        <w:rPr>
          <w:b/>
          <w:bCs/>
          <w:i w:val="false"/>
          <w:iCs w:val="false"/>
        </w:rPr>
        <w:t xml:space="preserve">Proposed Research Question: Do euro area house prices respond differently to ECB monetary policy shocks depending on whether a country’s mortgages are mostly fixed rate or mostly variable rate?</w:t>
      </w:r>
    </w:p>
    <w:p>
      <w:pPr>
        <w:pStyle w:val="Heading1"/>
        <w:spacing w:after="160" w:before="280"/>
      </w:pPr>
      <w:r>
        <w:t xml:space="preserve">Part I. Writing your Introduction</w:t>
      </w:r>
    </w:p>
    <w:p>
      <w:pPr>
        <w:spacing w:after="160"/>
      </w:pPr>
      <w:r>
        <w:rPr>
          <w:b w:val="false"/>
          <w:bCs w:val="false"/>
          <w:i/>
          <w:iCs/>
        </w:rPr>
        <w:t xml:space="preserve">Please complete the following sentence in non technical language (imagine you are telling someone you have just met at a party).</w:t>
      </w:r>
    </w:p>
    <w:p>
      <w:pPr>
        <w:spacing w:after="160"/>
      </w:pPr>
      <w:r>
        <w:rPr>
          <w:b w:val="false"/>
          <w:bCs w:val="false"/>
          <w:i w:val="false"/>
          <w:iCs w:val="false"/>
        </w:rPr>
        <w:t xml:space="preserve">“I am working on the topic of monetary policy and housing markets in the euro area, because I want to find out whether house prices react more strongly to ECB interest rate decisions in countries where mortgage rates move with the policy rate, so that I can help others understand why one common monetary policy can have very different side effects on the housing markets of different member countries.”</w:t>
      </w:r>
    </w:p>
    <w:p>
      <w:pPr>
        <w:spacing w:after="160"/>
      </w:pPr>
      <w:r>
        <w:rPr>
          <w:b w:val="false"/>
          <w:bCs w:val="false"/>
          <w:i/>
          <w:iCs/>
        </w:rPr>
        <w:t xml:space="preserve">What is your research problem? Be sure to state both the condition and the consequence of your problem.</w:t>
      </w:r>
    </w:p>
    <w:p>
      <w:pPr>
        <w:spacing w:after="160"/>
      </w:pPr>
      <w:r>
        <w:rPr>
          <w:b w:val="false"/>
          <w:bCs w:val="false"/>
          <w:i w:val="false"/>
          <w:iCs w:val="false"/>
        </w:rPr>
        <w:t xml:space="preserve">Condition: the euro area has one monetary policy but very different national mortgage systems. In Spain or Finland most mortgage rates adjust within months when the ECB moves; in Germany or France they are fixed for many years. We have little direct evidence on whether this institutional difference translates into different house price responses to the same policy decision.</w:t>
      </w:r>
    </w:p>
    <w:p>
      <w:pPr>
        <w:spacing w:after="160"/>
      </w:pPr>
      <w:r>
        <w:rPr>
          <w:b w:val="false"/>
          <w:bCs w:val="false"/>
          <w:i w:val="false"/>
          <w:iCs w:val="false"/>
        </w:rPr>
        <w:t xml:space="preserve">Consequence: as long as this evidence is missing, the common presumption that variable rate countries carry more of the burden of a tightening rests on indirect evidence about consumption and mortgage payments, and neither the ECB nor national macroprudential authorities can judge how unevenly a common decision lands on national housing markets.</w:t>
      </w:r>
    </w:p>
    <w:p>
      <w:pPr>
        <w:spacing w:after="160"/>
      </w:pPr>
      <w:r>
        <w:rPr>
          <w:b w:val="false"/>
          <w:bCs w:val="false"/>
          <w:i/>
          <w:iCs/>
        </w:rPr>
        <w:t xml:space="preserve">Which parts of your research problem require elaboration? Sketch out how you plan to achieve this.</w:t>
      </w:r>
    </w:p>
    <w:p>
      <w:pPr>
        <w:spacing w:after="160"/>
      </w:pPr>
      <w:r>
        <w:rPr>
          <w:b w:val="false"/>
          <w:bCs w:val="false"/>
          <w:i w:val="false"/>
          <w:iCs w:val="false"/>
        </w:rPr>
        <w:t xml:space="preserve">Three parts need elaboration before the reader can follow the argument. First, the institutional background: what fixed rate dominant and variable rate dominant mortgage systems are, and which euro area countries belong to which group, based on Badarinza, Campbell and Ramadorai (2018). Second, the measurement problem: interest rate surprises around ECB announcements partly reflect information about the economy rather than policy itself, and I need to explain early why I clean the surprises with the sign restriction of Jarocinski and Karadi (2020), because my results depend on it. Third, the antecedents: existing research links mortgage market structure to the transmission of monetary policy into consumption and mortgage payments (for example Calza, Monacelli and Stracca 2013), but direct evidence on house prices for the euro area is thin. A stylized fact can carry the hook: in the 2022 to 2023 tightening cycle real house prices fell almost everywhere in the euro area, but by very different amounts.</w:t>
      </w:r>
    </w:p>
    <w:p>
      <w:pPr>
        <w:spacing w:after="160"/>
      </w:pPr>
      <w:r>
        <w:rPr>
          <w:b w:val="false"/>
          <w:bCs w:val="false"/>
          <w:i/>
          <w:iCs/>
        </w:rPr>
        <w:t xml:space="preserve">Sketch out your research methods.</w:t>
      </w:r>
    </w:p>
    <w:p>
      <w:pPr>
        <w:spacing w:after="160"/>
      </w:pPr>
      <w:r>
        <w:rPr>
          <w:b w:val="false"/>
          <w:bCs w:val="false"/>
          <w:i w:val="false"/>
          <w:iCs w:val="false"/>
        </w:rPr>
        <w:t xml:space="preserve">I build a quarterly panel of eleven euro area countries from 1999 to 2025. House prices are the OECD real residential property price indices. The monetary policy shock is the high frequency surprise in the three month OIS rate around ECB announcements from the EA-MPD of Altavilla et al. (2019), cleaned of central bank information effects with the Jarocinski and Karadi (2020) sign restriction and summed to quarters. I estimate panel local projections (Jorda 2005) of cumulative real house price changes on the shock and on the shock interacted with a binary indicator for variable rate dominant mortgage markets, with country fixed effects, lagged macro controls from Eurostat, a pandemic dummy, and Driscoll Kraay standard errors that account for the cross sectional dependence created by the common shock.</w:t>
      </w:r>
    </w:p>
    <w:p>
      <w:pPr>
        <w:spacing w:after="160"/>
      </w:pPr>
      <w:r>
        <w:rPr>
          <w:b w:val="false"/>
          <w:bCs w:val="false"/>
          <w:i/>
          <w:iCs/>
        </w:rPr>
        <w:t xml:space="preserve">Outline your findings (at this point), in plain English.</w:t>
      </w:r>
    </w:p>
    <w:p>
      <w:pPr>
        <w:spacing w:after="160"/>
      </w:pPr>
      <w:r>
        <w:rPr>
          <w:b w:val="false"/>
          <w:bCs w:val="false"/>
          <w:i w:val="false"/>
          <w:iCs w:val="false"/>
        </w:rPr>
        <w:t xml:space="preserve">On average across countries, a surprise tightening lowers real house prices somewhat over the first year, but over the full sample this average response is close to zero and imprecise. In the period since 2009 the immediate response is negative and statistically significant. The central finding on my question is a null result: I find no robust evidence that house prices in variable rate countries respond more strongly. The estimated difference between the two country groups is small, it changes sign depending on whether standard dynamic controls are included, and it is not robustly significant anywhere. A clear side finding is that the information cleaning matters a great deal: with raw surprises, house prices appear to rise after a tightening, which is the signature of information effects and not of any plausible transmission mechanism.</w:t>
      </w:r>
    </w:p>
    <w:p>
      <w:pPr>
        <w:spacing w:after="160"/>
      </w:pPr>
      <w:r>
        <w:rPr>
          <w:b w:val="false"/>
          <w:bCs w:val="false"/>
          <w:i/>
          <w:iCs/>
        </w:rPr>
        <w:t xml:space="preserve">Anticipate some objections to your methods or findings and explain why they are not (much of) a concern.</w:t>
      </w:r>
    </w:p>
    <w:p>
      <w:pPr>
        <w:spacing w:after="160"/>
      </w:pPr>
      <w:r>
        <w:rPr>
          <w:b w:val="false"/>
          <w:bCs w:val="false"/>
          <w:i w:val="false"/>
          <w:iCs w:val="false"/>
        </w:rPr>
        <w:t xml:space="preserve">A first objection is that the shock could be mismeasured. I validate the series against well known ECB episodes, and the contrast between raw and cleaned surprises behaves exactly as the information effect literature predicts, which suggests the measurement is sound. A second objection is that a binary mortgage market classification is coarse. This is true, and it is why I interpret the interaction as a descriptive difference between country groups rather than the pure causal effect of mortgage structure; the classification itself follows published evidence rather than my own judgement. A third objection is that eleven countries and one common shock cannot deliver precise interaction estimates. This is correct, and I treat it openly as part of the answer: the paper reports the confidence intervals honestly and states what this design can and cannot identify. Finally, one could suspect that I chose the specification that suits my story. I did the opposite: the baseline with dynamic controls was fixed on methodological grounds before comparing results, and both specifications are shown side by side in the main table.</w:t>
      </w:r>
    </w:p>
    <w:p>
      <w:pPr>
        <w:spacing w:after="160"/>
      </w:pPr>
      <w:r>
        <w:rPr>
          <w:b w:val="false"/>
          <w:bCs w:val="false"/>
          <w:i/>
          <w:iCs/>
        </w:rPr>
        <w:t xml:space="preserve">Sketch out a list of your paper’s contributions; one is OK, but aim for two or three.</w:t>
      </w:r>
    </w:p>
    <w:p>
      <w:pPr>
        <w:spacing w:after="160"/>
      </w:pPr>
      <w:r>
        <w:rPr>
          <w:b w:val="false"/>
          <w:bCs w:val="false"/>
          <w:i w:val="false"/>
          <w:iCs w:val="false"/>
        </w:rPr>
        <w:t xml:space="preserve">First, the paper provides direct evidence on house prices, rather than consumption or mortgage payments, for the mortgage structure channel of monetary policy in the euro area, on a sample long enough to include the 2022 to 2023 tightening cycle and the 2024 to 2025 easing. Second, it shows that separating monetary policy shocks from central bank information shocks is essential for housing outcomes: without the correction the estimated response has the wrong sign. Third, it offers a transparent assessment of what a cross country design can identify: one common shock and eleven countries cannot pin down the differential response by mortgage structure, which qualifies the existing cross country evidence and supports moving to regional data, as in Battistini et al. (2025).</w:t>
      </w:r>
    </w:p>
    <w:p>
      <w:pPr>
        <w:pStyle w:val="Heading1"/>
        <w:spacing w:after="160" w:before="280"/>
      </w:pPr>
      <w:r>
        <w:t xml:space="preserve">Part II. Writing your Conclusion</w:t>
      </w:r>
    </w:p>
    <w:p>
      <w:pPr>
        <w:spacing w:after="160"/>
      </w:pPr>
      <w:r>
        <w:rPr>
          <w:b w:val="false"/>
          <w:bCs w:val="false"/>
          <w:i/>
          <w:iCs/>
        </w:rPr>
        <w:t xml:space="preserve">Outline some ways that your work suggests future work.</w:t>
      </w:r>
    </w:p>
    <w:p>
      <w:pPr>
        <w:spacing w:after="160"/>
      </w:pPr>
      <w:r>
        <w:rPr>
          <w:b w:val="false"/>
          <w:bCs w:val="false"/>
          <w:i w:val="false"/>
          <w:iCs w:val="false"/>
        </w:rPr>
        <w:t xml:space="preserve">Three directions follow directly from the limitations. First, the binary mortgage market indicator discards a lot of information, because the variable rate share differs strongly within the two groups. A continuous share as moderator would use this variation; with only eleven countries this extra variation could be decisive for statistical power. I kept the binary design because it was fixed with my supervisor before estimation, but a follow up should relax it. Second, regional house price data would address the power problem at its root. Within country variation multiplies the number of observations and allows time fixed effects that absorb the common shock, which my country level design cannot include because time effects would absorb the shock itself. Battistini et al. (2025) show that this route is feasible for the euro area. Third, the budget channel could be tested directly instead of being inferred from country groups, by linking household level data on mortgage payment resets to local house price changes; this would show whether the mechanism operates even though it does not show up at the country level.</w:t>
      </w:r>
    </w:p>
    <w:p>
      <w:pPr>
        <w:pStyle w:val="Heading1"/>
        <w:spacing w:after="160" w:before="280"/>
      </w:pPr>
      <w:r>
        <w:t xml:space="preserve">References</w:t>
      </w:r>
    </w:p>
    <w:p>
      <w:pPr>
        <w:spacing w:after="160"/>
      </w:pPr>
      <w:r>
        <w:rPr>
          <w:b w:val="false"/>
          <w:bCs w:val="false"/>
          <w:i w:val="false"/>
          <w:iCs w:val="false"/>
        </w:rPr>
        <w:t xml:space="preserve">Altavilla, C., Brugnolini, L., Gurkaynak, R., Motto, R., Ragusa, G. (2019). Measuring euro area monetary policy. Journal of Monetary Economics 108, 162–179.</w:t>
      </w:r>
    </w:p>
    <w:p>
      <w:pPr>
        <w:spacing w:after="160"/>
      </w:pPr>
      <w:r>
        <w:rPr>
          <w:b w:val="false"/>
          <w:bCs w:val="false"/>
          <w:i w:val="false"/>
          <w:iCs w:val="false"/>
        </w:rPr>
        <w:t xml:space="preserve">Badarinza, C., Campbell, J. Y., Ramadorai, T. (2018). What calls to ARMs? International evidence on interest rates and the choice of adjustable rate mortgages. Management Science 64(5), 2275–2288.</w:t>
      </w:r>
    </w:p>
    <w:p>
      <w:pPr>
        <w:spacing w:after="160"/>
      </w:pPr>
      <w:r>
        <w:rPr>
          <w:b w:val="false"/>
          <w:bCs w:val="false"/>
          <w:i w:val="false"/>
          <w:iCs w:val="false"/>
        </w:rPr>
        <w:t xml:space="preserve">Battistini, N., Falagiarda, M., Hackmann, A., Roma, M. (2025). Navigating the housing channel of monetary policy across euro area regions. European Economic Review 171.</w:t>
      </w:r>
    </w:p>
    <w:p>
      <w:pPr>
        <w:spacing w:after="160"/>
      </w:pPr>
      <w:r>
        <w:rPr>
          <w:b w:val="false"/>
          <w:bCs w:val="false"/>
          <w:i w:val="false"/>
          <w:iCs w:val="false"/>
        </w:rPr>
        <w:t xml:space="preserve">Booth, W. C., Colomb, G. G., Williams, J. M., Bizup, J., Fitzgerald, W. T. (2016). The craft of research. University of Chicago Press.</w:t>
      </w:r>
    </w:p>
    <w:p>
      <w:pPr>
        <w:spacing w:after="160"/>
      </w:pPr>
      <w:r>
        <w:rPr>
          <w:b w:val="false"/>
          <w:bCs w:val="false"/>
          <w:i w:val="false"/>
          <w:iCs w:val="false"/>
        </w:rPr>
        <w:t xml:space="preserve">Calza, A., Monacelli, T., Stracca, L. (2013). Housing finance and monetary policy. Journal of the European Economic Association 11(s1), 101–122.</w:t>
      </w:r>
    </w:p>
    <w:p>
      <w:pPr>
        <w:spacing w:after="160"/>
      </w:pPr>
      <w:r>
        <w:rPr>
          <w:b w:val="false"/>
          <w:bCs w:val="false"/>
          <w:i w:val="false"/>
          <w:iCs w:val="false"/>
        </w:rPr>
        <w:t xml:space="preserve">Jarocinski, M., Karadi, P. (2020). Deconstructing monetary policy surprises: the role of information shocks. American Economic Journal: Macroeconomics 12(2), 1–43.</w:t>
      </w:r>
    </w:p>
    <w:p>
      <w:pPr>
        <w:spacing w:after="160"/>
      </w:pPr>
      <w:r>
        <w:rPr>
          <w:b w:val="false"/>
          <w:bCs w:val="false"/>
          <w:i w:val="false"/>
          <w:iCs w:val="false"/>
        </w:rPr>
        <w:t xml:space="preserve">Jorda, O. (2005). Estimation and inference of impulse responses by local projections. American Economic Review 95(1), 161–182.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2026-07-23T13:43:34.658Z</dcterms:created>
  <dcterms:modified xsi:type="dcterms:W3CDTF">2026-07-23T13:43:34.662Z</dcterms:modified>
</cp:coreProperties>
</file>

<file path=docProps/custom.xml><?xml version="1.0" encoding="utf-8"?>
<Properties xmlns="http://schemas.openxmlformats.org/officeDocument/2006/custom-properties" xmlns:vt="http://schemas.openxmlformats.org/officeDocument/2006/docPropsVTypes"/>
</file>