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691251" w14:paraId="504029E2" w14:textId="77777777" w:rsidTr="00FA7C20">
        <w:tc>
          <w:tcPr>
            <w:tcW w:w="9350" w:type="dxa"/>
          </w:tcPr>
          <w:p w14:paraId="24C26241" w14:textId="4DC59043" w:rsidR="00691251" w:rsidRPr="00FA7C20" w:rsidRDefault="00691251" w:rsidP="00691251">
            <w:pPr>
              <w:spacing w:before="60" w:after="60"/>
              <w:rPr>
                <w:rFonts w:cs="Arial"/>
                <w:bCs/>
              </w:rPr>
            </w:pPr>
            <w:r w:rsidRPr="009B11EC">
              <w:rPr>
                <w:rFonts w:cs="Arial"/>
                <w:b/>
              </w:rPr>
              <w:t xml:space="preserve">PI name: </w:t>
            </w:r>
            <w:r w:rsidR="00992425">
              <w:rPr>
                <w:rFonts w:cs="Arial"/>
                <w:bCs/>
              </w:rPr>
              <w:t>Jacob</w:t>
            </w:r>
            <w:r w:rsidR="00F15944">
              <w:rPr>
                <w:rFonts w:cs="Arial"/>
                <w:bCs/>
              </w:rPr>
              <w:t xml:space="preserve"> Kean</w:t>
            </w:r>
            <w:r w:rsidR="00992425">
              <w:rPr>
                <w:rFonts w:cs="Arial"/>
                <w:bCs/>
              </w:rPr>
              <w:t>, Russ Waitman, Xing Song</w:t>
            </w:r>
          </w:p>
        </w:tc>
      </w:tr>
      <w:tr w:rsidR="00FA7C20" w14:paraId="51AF2BC9" w14:textId="77777777" w:rsidTr="00FA7C20">
        <w:tc>
          <w:tcPr>
            <w:tcW w:w="9350" w:type="dxa"/>
          </w:tcPr>
          <w:p w14:paraId="332947AB" w14:textId="64B578F1" w:rsidR="00FA7C20" w:rsidRPr="00FA7C20" w:rsidRDefault="00FA7C20" w:rsidP="00691251">
            <w:pPr>
              <w:spacing w:before="60" w:after="60"/>
              <w:rPr>
                <w:rFonts w:cs="Arial"/>
                <w:b/>
                <w:bCs/>
                <w:i/>
                <w:iCs/>
              </w:rPr>
            </w:pPr>
            <w:r>
              <w:rPr>
                <w:rFonts w:cs="Arial"/>
                <w:b/>
              </w:rPr>
              <w:t>Working</w:t>
            </w:r>
            <w:r w:rsidRPr="009B11EC">
              <w:rPr>
                <w:rFonts w:cs="Arial"/>
                <w:b/>
              </w:rPr>
              <w:t xml:space="preserve"> Title: </w:t>
            </w:r>
            <w:r w:rsidR="00D918F9" w:rsidRPr="002D2CF5">
              <w:rPr>
                <w:rFonts w:cs="Arial"/>
                <w:bCs/>
              </w:rPr>
              <w:t>PCORnet Phase III Milestone</w:t>
            </w:r>
            <w:r w:rsidR="00D918F9">
              <w:rPr>
                <w:rFonts w:cs="Arial"/>
                <w:b/>
              </w:rPr>
              <w:t xml:space="preserve"> - </w:t>
            </w:r>
            <w:r w:rsidR="00992425" w:rsidRPr="00D918F9">
              <w:rPr>
                <w:rFonts w:cs="Arial"/>
                <w:bCs/>
              </w:rPr>
              <w:t>GPC-VA Data Linkage</w:t>
            </w:r>
            <w:r w:rsidR="00992425">
              <w:rPr>
                <w:rFonts w:cs="Arial"/>
                <w:b/>
              </w:rPr>
              <w:t xml:space="preserve"> </w:t>
            </w:r>
            <w:r w:rsidR="006E28CD" w:rsidRPr="006E28CD">
              <w:rPr>
                <w:rFonts w:cs="Arial"/>
                <w:bCs/>
              </w:rPr>
              <w:t>Pilot Study</w:t>
            </w:r>
          </w:p>
        </w:tc>
      </w:tr>
      <w:tr w:rsidR="00FA7C20" w14:paraId="67128046" w14:textId="77777777" w:rsidTr="00FA7C20">
        <w:tc>
          <w:tcPr>
            <w:tcW w:w="9350" w:type="dxa"/>
          </w:tcPr>
          <w:p w14:paraId="637A54C2" w14:textId="3A8B3E27" w:rsidR="00FA7C20" w:rsidRPr="00FA7C20" w:rsidRDefault="00FA7C20" w:rsidP="00691251">
            <w:pPr>
              <w:spacing w:before="60" w:after="60"/>
              <w:rPr>
                <w:rFonts w:cs="Arial"/>
                <w:b/>
                <w:bCs/>
              </w:rPr>
            </w:pPr>
            <w:r>
              <w:rPr>
                <w:rFonts w:cs="Arial"/>
                <w:b/>
                <w:bCs/>
              </w:rPr>
              <w:t xml:space="preserve">Sponsor: </w:t>
            </w:r>
            <w:r w:rsidR="00D918F9" w:rsidRPr="002D2CF5">
              <w:rPr>
                <w:rFonts w:cs="Arial"/>
              </w:rPr>
              <w:t xml:space="preserve">PCORI, </w:t>
            </w:r>
            <w:r w:rsidR="006D22EF" w:rsidRPr="002D2CF5">
              <w:rPr>
                <w:rFonts w:cs="Arial"/>
              </w:rPr>
              <w:t>VA, DoD</w:t>
            </w:r>
          </w:p>
        </w:tc>
      </w:tr>
      <w:tr w:rsidR="00FA7C20" w14:paraId="6FF566FD" w14:textId="77777777" w:rsidTr="00FA7C20">
        <w:tc>
          <w:tcPr>
            <w:tcW w:w="9350" w:type="dxa"/>
          </w:tcPr>
          <w:p w14:paraId="4F04386C" w14:textId="51398AE8" w:rsidR="00FA7C20" w:rsidRPr="00C62AE7" w:rsidRDefault="00FA7C20" w:rsidP="00691251">
            <w:pPr>
              <w:spacing w:before="60" w:after="60"/>
              <w:rPr>
                <w:rFonts w:cs="Arial"/>
              </w:rPr>
            </w:pPr>
            <w:r>
              <w:rPr>
                <w:rFonts w:cs="Arial"/>
                <w:b/>
                <w:bCs/>
              </w:rPr>
              <w:t xml:space="preserve">Performance Period: </w:t>
            </w:r>
            <w:r w:rsidR="00C62AE7">
              <w:rPr>
                <w:rFonts w:cs="Arial"/>
              </w:rPr>
              <w:t>10/01/2022 – 10/01/2023</w:t>
            </w:r>
          </w:p>
        </w:tc>
      </w:tr>
      <w:tr w:rsidR="00FA7C20" w14:paraId="30DC53EE" w14:textId="77777777" w:rsidTr="00FA7C20">
        <w:tc>
          <w:tcPr>
            <w:tcW w:w="9350" w:type="dxa"/>
          </w:tcPr>
          <w:p w14:paraId="06F2EF8B" w14:textId="008EBCA9" w:rsidR="00FA7C20" w:rsidRDefault="00FA7C20" w:rsidP="00691251">
            <w:pPr>
              <w:spacing w:before="60" w:after="60"/>
              <w:rPr>
                <w:rFonts w:cs="Arial"/>
                <w:b/>
                <w:bCs/>
              </w:rPr>
            </w:pPr>
            <w:r>
              <w:rPr>
                <w:rFonts w:cs="Arial"/>
                <w:b/>
                <w:bCs/>
              </w:rPr>
              <w:t xml:space="preserve">Project State: </w:t>
            </w:r>
            <w:r w:rsidR="006A05BB" w:rsidRPr="00F616AF">
              <w:rPr>
                <w:rFonts w:cs="Arial"/>
              </w:rPr>
              <w:t xml:space="preserve">interests in </w:t>
            </w:r>
            <w:r w:rsidR="00F616AF">
              <w:rPr>
                <w:rFonts w:cs="Arial"/>
              </w:rPr>
              <w:t xml:space="preserve">responding to the </w:t>
            </w:r>
            <w:r w:rsidR="003267DB">
              <w:rPr>
                <w:rFonts w:cs="Arial"/>
              </w:rPr>
              <w:t xml:space="preserve">DoD </w:t>
            </w:r>
            <w:r w:rsidR="00F616AF">
              <w:rPr>
                <w:rFonts w:cs="Arial"/>
              </w:rPr>
              <w:t>TBI</w:t>
            </w:r>
            <w:r w:rsidR="007763D7">
              <w:rPr>
                <w:rFonts w:cs="Arial"/>
              </w:rPr>
              <w:t>PHRP</w:t>
            </w:r>
            <w:r w:rsidR="00F616AF">
              <w:rPr>
                <w:rFonts w:cs="Arial"/>
              </w:rPr>
              <w:t xml:space="preserve"> </w:t>
            </w:r>
            <w:r w:rsidR="00E15BAF">
              <w:rPr>
                <w:rFonts w:cs="Arial"/>
              </w:rPr>
              <w:t>RFA</w:t>
            </w:r>
            <w:r w:rsidR="0056095B">
              <w:rPr>
                <w:rFonts w:cs="Arial"/>
              </w:rPr>
              <w:t xml:space="preserve"> </w:t>
            </w:r>
          </w:p>
        </w:tc>
      </w:tr>
    </w:tbl>
    <w:p w14:paraId="1192C838" w14:textId="01A2F052" w:rsidR="00B23212" w:rsidRPr="00DE03D8" w:rsidRDefault="006B0267" w:rsidP="00691251">
      <w:pPr>
        <w:pStyle w:val="Heading1"/>
      </w:pPr>
      <w:r>
        <w:t>Site Scope of Work</w:t>
      </w:r>
    </w:p>
    <w:p w14:paraId="6ED00D56" w14:textId="5E198010" w:rsidR="00B23212" w:rsidRDefault="00AC5EFB" w:rsidP="00B23212">
      <w:r w:rsidRPr="00AC5EFB">
        <w:t xml:space="preserve">As one of the </w:t>
      </w:r>
      <w:r w:rsidR="00E0245D">
        <w:t>contractual</w:t>
      </w:r>
      <w:r w:rsidRPr="00AC5EFB">
        <w:t xml:space="preserve"> milestones for PCORnet Phase 3, GPC will advance Datavant tokenization of the Veterans Administration (VA) and Department of Defense (DoD) electronic health records to support linkage across PCORnet and the corresponding Governance processes. Leveraging existing inter-network resources and in support of the brain injury data sharing (BIDS) project, we propose a demonstration linkage project between GPC EHR data and DoD/VA EHR data to advance the understanding of treatment, progression and long-term outcomes of traumatic brain injury (TBI) for Servicemembers and Veterans.  </w:t>
      </w:r>
    </w:p>
    <w:p w14:paraId="4FA0C553" w14:textId="2AB0D47C" w:rsidR="00AC5EFB" w:rsidRPr="00372A12" w:rsidRDefault="00AC5EFB" w:rsidP="00B23212">
      <w:pPr>
        <w:rPr>
          <w:b/>
          <w:bCs/>
          <w:u w:val="single"/>
        </w:rPr>
      </w:pPr>
      <w:r>
        <w:t xml:space="preserve">Participating sites will </w:t>
      </w:r>
      <w:r w:rsidR="0030608F">
        <w:t xml:space="preserve">need to </w:t>
      </w:r>
      <w:r w:rsidR="00657D07">
        <w:t>m</w:t>
      </w:r>
      <w:r w:rsidR="00657D07" w:rsidRPr="00657D07">
        <w:t xml:space="preserve">aintain Datavant® software for generating </w:t>
      </w:r>
      <w:r w:rsidR="00581B3A">
        <w:t xml:space="preserve">GPC-specific hash token </w:t>
      </w:r>
      <w:r w:rsidR="00F71CEE">
        <w:t xml:space="preserve">used for linking with </w:t>
      </w:r>
      <w:r w:rsidR="00F675A6">
        <w:t>VA health data</w:t>
      </w:r>
      <w:r w:rsidR="00600DE3">
        <w:t xml:space="preserve"> in support of the proposed overlapping analysis and federate modeling. </w:t>
      </w:r>
      <w:r w:rsidR="00D3573C" w:rsidRPr="005A2FB2">
        <w:rPr>
          <w:b/>
          <w:bCs/>
          <w:u w:val="single"/>
        </w:rPr>
        <w:t>Upon the GPC</w:t>
      </w:r>
      <w:r w:rsidR="0065042E" w:rsidRPr="005A2FB2">
        <w:rPr>
          <w:b/>
          <w:bCs/>
          <w:u w:val="single"/>
        </w:rPr>
        <w:t xml:space="preserve"> External </w:t>
      </w:r>
      <w:r w:rsidR="008522EC" w:rsidRPr="005A2FB2">
        <w:rPr>
          <w:b/>
          <w:bCs/>
          <w:u w:val="single"/>
        </w:rPr>
        <w:t xml:space="preserve">Institution </w:t>
      </w:r>
      <w:r w:rsidR="0065042E" w:rsidRPr="005A2FB2">
        <w:rPr>
          <w:b/>
          <w:bCs/>
          <w:u w:val="single"/>
        </w:rPr>
        <w:t>C</w:t>
      </w:r>
      <w:r w:rsidR="008522EC" w:rsidRPr="005A2FB2">
        <w:rPr>
          <w:b/>
          <w:bCs/>
          <w:u w:val="single"/>
        </w:rPr>
        <w:t>ollaborator</w:t>
      </w:r>
      <w:r w:rsidR="0065042E" w:rsidRPr="005A2FB2">
        <w:rPr>
          <w:b/>
          <w:bCs/>
          <w:u w:val="single"/>
        </w:rPr>
        <w:t xml:space="preserve"> Agreement (EICA) </w:t>
      </w:r>
      <w:r w:rsidR="00D3573C" w:rsidRPr="005A2FB2">
        <w:rPr>
          <w:b/>
          <w:bCs/>
          <w:u w:val="single"/>
        </w:rPr>
        <w:t xml:space="preserve">being established </w:t>
      </w:r>
      <w:r w:rsidR="0065042E" w:rsidRPr="005A2FB2">
        <w:rPr>
          <w:b/>
          <w:bCs/>
          <w:u w:val="single"/>
        </w:rPr>
        <w:t>with VA</w:t>
      </w:r>
      <w:r w:rsidR="0065042E">
        <w:t xml:space="preserve">, </w:t>
      </w:r>
      <w:r w:rsidR="00D3573C">
        <w:t>participating s</w:t>
      </w:r>
      <w:r w:rsidR="00600DE3">
        <w:t>ites are expected to submit hash token table</w:t>
      </w:r>
      <w:r w:rsidR="003A5E0E">
        <w:t>s to</w:t>
      </w:r>
      <w:r w:rsidR="000F46D0">
        <w:t xml:space="preserve"> GPC CC</w:t>
      </w:r>
      <w:r w:rsidR="003A5E0E">
        <w:t xml:space="preserve"> </w:t>
      </w:r>
      <w:r w:rsidR="000F46D0">
        <w:t>following</w:t>
      </w:r>
      <w:r w:rsidR="003A5E0E">
        <w:t xml:space="preserve"> the established process</w:t>
      </w:r>
      <w:r w:rsidR="000F46D0">
        <w:t xml:space="preserve"> of submitting their CDM datamarts onto GROUSE. </w:t>
      </w:r>
      <w:r w:rsidR="00DC0A18" w:rsidRPr="00372A12">
        <w:rPr>
          <w:b/>
          <w:bCs/>
          <w:u w:val="single"/>
        </w:rPr>
        <w:t xml:space="preserve">Overlapping analysis results will be disseminated back to </w:t>
      </w:r>
      <w:r w:rsidR="000505E7">
        <w:rPr>
          <w:b/>
          <w:bCs/>
          <w:u w:val="single"/>
        </w:rPr>
        <w:t xml:space="preserve">participating </w:t>
      </w:r>
      <w:r w:rsidR="00DC0A18" w:rsidRPr="00372A12">
        <w:rPr>
          <w:b/>
          <w:bCs/>
          <w:u w:val="single"/>
        </w:rPr>
        <w:t>site</w:t>
      </w:r>
      <w:r w:rsidR="00032CE9" w:rsidRPr="00372A12">
        <w:rPr>
          <w:b/>
          <w:bCs/>
          <w:u w:val="single"/>
        </w:rPr>
        <w:t xml:space="preserve">. </w:t>
      </w:r>
    </w:p>
    <w:tbl>
      <w:tblPr>
        <w:tblStyle w:val="TableGrid"/>
        <w:tblW w:w="0" w:type="auto"/>
        <w:tblLook w:val="04A0" w:firstRow="1" w:lastRow="0" w:firstColumn="1" w:lastColumn="0" w:noHBand="0" w:noVBand="1"/>
      </w:tblPr>
      <w:tblGrid>
        <w:gridCol w:w="1795"/>
        <w:gridCol w:w="4230"/>
        <w:gridCol w:w="1350"/>
        <w:gridCol w:w="1710"/>
        <w:gridCol w:w="1530"/>
      </w:tblGrid>
      <w:tr w:rsidR="003C6866" w:rsidRPr="00A242A2" w14:paraId="7A226C00" w14:textId="5C7B7ADA" w:rsidTr="00C3015C">
        <w:tc>
          <w:tcPr>
            <w:tcW w:w="1795" w:type="dxa"/>
            <w:vAlign w:val="center"/>
          </w:tcPr>
          <w:p w14:paraId="3E9CA1C4" w14:textId="77777777" w:rsidR="00B70B31" w:rsidRPr="00A242A2" w:rsidRDefault="00B70B31" w:rsidP="00786E20">
            <w:pPr>
              <w:jc w:val="center"/>
              <w:rPr>
                <w:b/>
                <w:bCs/>
              </w:rPr>
            </w:pPr>
            <w:r w:rsidRPr="00A242A2">
              <w:rPr>
                <w:b/>
                <w:bCs/>
              </w:rPr>
              <w:t>Milestone</w:t>
            </w:r>
          </w:p>
        </w:tc>
        <w:tc>
          <w:tcPr>
            <w:tcW w:w="4230" w:type="dxa"/>
            <w:vAlign w:val="center"/>
          </w:tcPr>
          <w:p w14:paraId="19F6AA0E" w14:textId="77777777" w:rsidR="00B70B31" w:rsidRPr="00A242A2" w:rsidRDefault="00B70B31" w:rsidP="00786E20">
            <w:pPr>
              <w:jc w:val="center"/>
              <w:rPr>
                <w:b/>
                <w:bCs/>
              </w:rPr>
            </w:pPr>
            <w:r w:rsidRPr="00A242A2">
              <w:rPr>
                <w:b/>
                <w:bCs/>
              </w:rPr>
              <w:t>Activity</w:t>
            </w:r>
          </w:p>
        </w:tc>
        <w:tc>
          <w:tcPr>
            <w:tcW w:w="1350" w:type="dxa"/>
            <w:vAlign w:val="center"/>
          </w:tcPr>
          <w:p w14:paraId="26E6AA5D" w14:textId="033284C6" w:rsidR="00B70B31" w:rsidRPr="00A242A2" w:rsidRDefault="000B7E63" w:rsidP="00786E20">
            <w:pPr>
              <w:jc w:val="center"/>
              <w:rPr>
                <w:b/>
                <w:bCs/>
              </w:rPr>
            </w:pPr>
            <w:r>
              <w:rPr>
                <w:b/>
                <w:bCs/>
              </w:rPr>
              <w:t>Budget for Leading Site*</w:t>
            </w:r>
          </w:p>
        </w:tc>
        <w:tc>
          <w:tcPr>
            <w:tcW w:w="1710" w:type="dxa"/>
          </w:tcPr>
          <w:p w14:paraId="16161A2E" w14:textId="0524C65A" w:rsidR="00B70B31" w:rsidRDefault="000B7E63" w:rsidP="00786E20">
            <w:pPr>
              <w:jc w:val="center"/>
              <w:rPr>
                <w:b/>
                <w:bCs/>
              </w:rPr>
            </w:pPr>
            <w:r>
              <w:rPr>
                <w:b/>
                <w:bCs/>
              </w:rPr>
              <w:t>Budget for Coordinating Site*</w:t>
            </w:r>
          </w:p>
        </w:tc>
        <w:tc>
          <w:tcPr>
            <w:tcW w:w="1530" w:type="dxa"/>
            <w:vAlign w:val="center"/>
          </w:tcPr>
          <w:p w14:paraId="0824D637" w14:textId="35303961" w:rsidR="00B70B31" w:rsidRDefault="00B70B31" w:rsidP="00786E20">
            <w:pPr>
              <w:jc w:val="center"/>
              <w:rPr>
                <w:b/>
                <w:bCs/>
              </w:rPr>
            </w:pPr>
            <w:r>
              <w:rPr>
                <w:b/>
                <w:bCs/>
              </w:rPr>
              <w:t>Budget for Performing Site</w:t>
            </w:r>
          </w:p>
        </w:tc>
      </w:tr>
      <w:tr w:rsidR="00B448C6" w14:paraId="1392A69C" w14:textId="4B08048C" w:rsidTr="00C3015C">
        <w:trPr>
          <w:trHeight w:val="584"/>
        </w:trPr>
        <w:tc>
          <w:tcPr>
            <w:tcW w:w="1795" w:type="dxa"/>
            <w:vAlign w:val="center"/>
          </w:tcPr>
          <w:p w14:paraId="15964160" w14:textId="77777777" w:rsidR="00B448C6" w:rsidRPr="00294112" w:rsidRDefault="00B448C6" w:rsidP="00B448C6">
            <w:pPr>
              <w:rPr>
                <w:b/>
                <w:bCs/>
              </w:rPr>
            </w:pPr>
            <w:r>
              <w:t>1. Administrative preparation</w:t>
            </w:r>
          </w:p>
        </w:tc>
        <w:tc>
          <w:tcPr>
            <w:tcW w:w="4230" w:type="dxa"/>
            <w:vAlign w:val="center"/>
          </w:tcPr>
          <w:p w14:paraId="4056BFA4" w14:textId="492AD6CD" w:rsidR="00B448C6" w:rsidRDefault="00B448C6" w:rsidP="00B448C6">
            <w:r>
              <w:t>Datavant order form, IRB or non-human-determination, GPC DROC request</w:t>
            </w:r>
          </w:p>
        </w:tc>
        <w:tc>
          <w:tcPr>
            <w:tcW w:w="1350" w:type="dxa"/>
            <w:vAlign w:val="center"/>
          </w:tcPr>
          <w:p w14:paraId="5B02C028" w14:textId="53F0A13F" w:rsidR="00B448C6" w:rsidRDefault="00B448C6" w:rsidP="00B448C6">
            <w:pPr>
              <w:jc w:val="center"/>
            </w:pPr>
            <w:r>
              <w:rPr>
                <w:rFonts w:ascii="Calibri" w:hAnsi="Calibri" w:cs="Calibri"/>
                <w:color w:val="000000"/>
              </w:rPr>
              <w:t xml:space="preserve"> $ 1,560 </w:t>
            </w:r>
          </w:p>
        </w:tc>
        <w:tc>
          <w:tcPr>
            <w:tcW w:w="1710" w:type="dxa"/>
            <w:vAlign w:val="center"/>
          </w:tcPr>
          <w:p w14:paraId="3225915C" w14:textId="3A05658B" w:rsidR="00B448C6" w:rsidRDefault="00B448C6" w:rsidP="00B448C6">
            <w:pPr>
              <w:jc w:val="center"/>
            </w:pPr>
            <w:r>
              <w:rPr>
                <w:rFonts w:ascii="Calibri" w:hAnsi="Calibri" w:cs="Calibri"/>
                <w:color w:val="000000"/>
              </w:rPr>
              <w:t xml:space="preserve"> $ 1,560 </w:t>
            </w:r>
          </w:p>
        </w:tc>
        <w:tc>
          <w:tcPr>
            <w:tcW w:w="1530" w:type="dxa"/>
            <w:vAlign w:val="center"/>
          </w:tcPr>
          <w:p w14:paraId="0DA33AFD" w14:textId="522465A8" w:rsidR="00B448C6" w:rsidRDefault="00B448C6" w:rsidP="00B448C6">
            <w:pPr>
              <w:jc w:val="center"/>
            </w:pPr>
            <w:r>
              <w:rPr>
                <w:rFonts w:ascii="Calibri" w:hAnsi="Calibri" w:cs="Calibri"/>
                <w:color w:val="000000"/>
              </w:rPr>
              <w:t xml:space="preserve"> $ </w:t>
            </w:r>
            <w:r w:rsidR="00817E87">
              <w:rPr>
                <w:rFonts w:ascii="Calibri" w:hAnsi="Calibri" w:cs="Calibri"/>
                <w:color w:val="000000"/>
              </w:rPr>
              <w:t>1,170</w:t>
            </w:r>
            <w:r>
              <w:rPr>
                <w:rFonts w:ascii="Calibri" w:hAnsi="Calibri" w:cs="Calibri"/>
                <w:color w:val="000000"/>
              </w:rPr>
              <w:t xml:space="preserve"> </w:t>
            </w:r>
          </w:p>
        </w:tc>
      </w:tr>
      <w:tr w:rsidR="00B448C6" w14:paraId="2513A53D" w14:textId="1F2529FE" w:rsidTr="00C3015C">
        <w:trPr>
          <w:trHeight w:val="1817"/>
        </w:trPr>
        <w:tc>
          <w:tcPr>
            <w:tcW w:w="1795" w:type="dxa"/>
            <w:vAlign w:val="center"/>
          </w:tcPr>
          <w:p w14:paraId="7C0E6D9C" w14:textId="623C4153" w:rsidR="00B448C6" w:rsidRDefault="00B448C6" w:rsidP="00B448C6">
            <w:r>
              <w:t>2. Hash Token Generation and Submission</w:t>
            </w:r>
          </w:p>
        </w:tc>
        <w:tc>
          <w:tcPr>
            <w:tcW w:w="4230" w:type="dxa"/>
            <w:vAlign w:val="center"/>
          </w:tcPr>
          <w:p w14:paraId="508FE9B0" w14:textId="7CF6A076" w:rsidR="00B448C6" w:rsidRDefault="00B448C6" w:rsidP="00B448C6">
            <w:r>
              <w:t>Performing sites will submit GPC</w:t>
            </w:r>
            <w:r w:rsidR="00D30794">
              <w:t>-VA</w:t>
            </w:r>
            <w:r>
              <w:t xml:space="preserve">-specific hash token table to </w:t>
            </w:r>
            <w:r w:rsidR="006A46A8">
              <w:t>GPC CC</w:t>
            </w:r>
            <w:r>
              <w:t xml:space="preserve"> following the </w:t>
            </w:r>
            <w:r w:rsidR="009A6BDD">
              <w:t>cloud</w:t>
            </w:r>
            <w:r>
              <w:t>-based secure process</w:t>
            </w:r>
          </w:p>
        </w:tc>
        <w:tc>
          <w:tcPr>
            <w:tcW w:w="1350" w:type="dxa"/>
            <w:vAlign w:val="center"/>
          </w:tcPr>
          <w:p w14:paraId="3C04F40F" w14:textId="10D70B58" w:rsidR="00B448C6" w:rsidRDefault="00B448C6" w:rsidP="00B448C6">
            <w:pPr>
              <w:jc w:val="center"/>
            </w:pPr>
            <w:r>
              <w:rPr>
                <w:rFonts w:ascii="Calibri" w:hAnsi="Calibri" w:cs="Calibri"/>
                <w:color w:val="000000"/>
              </w:rPr>
              <w:t xml:space="preserve"> $ 2,7</w:t>
            </w:r>
            <w:r w:rsidR="00817E87">
              <w:rPr>
                <w:rFonts w:ascii="Calibri" w:hAnsi="Calibri" w:cs="Calibri"/>
                <w:color w:val="000000"/>
              </w:rPr>
              <w:t>86</w:t>
            </w:r>
            <w:r>
              <w:rPr>
                <w:rFonts w:ascii="Calibri" w:hAnsi="Calibri" w:cs="Calibri"/>
                <w:color w:val="000000"/>
              </w:rPr>
              <w:t xml:space="preserve"> </w:t>
            </w:r>
          </w:p>
        </w:tc>
        <w:tc>
          <w:tcPr>
            <w:tcW w:w="1710" w:type="dxa"/>
            <w:vAlign w:val="center"/>
          </w:tcPr>
          <w:p w14:paraId="6B5DEB57" w14:textId="035EFFB3" w:rsidR="00B448C6" w:rsidRDefault="00B448C6" w:rsidP="00B448C6">
            <w:pPr>
              <w:jc w:val="center"/>
            </w:pPr>
            <w:r>
              <w:rPr>
                <w:rFonts w:ascii="Calibri" w:hAnsi="Calibri" w:cs="Calibri"/>
                <w:color w:val="000000"/>
              </w:rPr>
              <w:t xml:space="preserve"> $ 3,</w:t>
            </w:r>
            <w:r w:rsidR="00817E87">
              <w:rPr>
                <w:rFonts w:ascii="Calibri" w:hAnsi="Calibri" w:cs="Calibri"/>
                <w:color w:val="000000"/>
              </w:rPr>
              <w:t>583</w:t>
            </w:r>
            <w:r>
              <w:rPr>
                <w:rFonts w:ascii="Calibri" w:hAnsi="Calibri" w:cs="Calibri"/>
                <w:color w:val="000000"/>
              </w:rPr>
              <w:t xml:space="preserve"> </w:t>
            </w:r>
          </w:p>
        </w:tc>
        <w:tc>
          <w:tcPr>
            <w:tcW w:w="1530" w:type="dxa"/>
            <w:vAlign w:val="center"/>
          </w:tcPr>
          <w:p w14:paraId="6FC8B961" w14:textId="6B56A62A" w:rsidR="00B448C6" w:rsidRDefault="00B448C6" w:rsidP="00B448C6">
            <w:pPr>
              <w:jc w:val="center"/>
            </w:pPr>
            <w:r>
              <w:rPr>
                <w:rFonts w:ascii="Calibri" w:hAnsi="Calibri" w:cs="Calibri"/>
                <w:color w:val="000000"/>
              </w:rPr>
              <w:t xml:space="preserve"> $ </w:t>
            </w:r>
            <w:r w:rsidR="00817E87">
              <w:rPr>
                <w:rFonts w:ascii="Calibri" w:hAnsi="Calibri" w:cs="Calibri"/>
                <w:color w:val="000000"/>
              </w:rPr>
              <w:t>1,013</w:t>
            </w:r>
            <w:r>
              <w:rPr>
                <w:rFonts w:ascii="Calibri" w:hAnsi="Calibri" w:cs="Calibri"/>
                <w:color w:val="000000"/>
              </w:rPr>
              <w:t xml:space="preserve"> </w:t>
            </w:r>
          </w:p>
        </w:tc>
      </w:tr>
      <w:tr w:rsidR="00B448C6" w14:paraId="0EDBA196" w14:textId="77777777" w:rsidTr="00C3015C">
        <w:trPr>
          <w:trHeight w:val="1817"/>
        </w:trPr>
        <w:tc>
          <w:tcPr>
            <w:tcW w:w="1795" w:type="dxa"/>
            <w:vAlign w:val="center"/>
          </w:tcPr>
          <w:p w14:paraId="760E3C25" w14:textId="4D6EA569" w:rsidR="00B448C6" w:rsidRDefault="00B448C6" w:rsidP="00B448C6">
            <w:r>
              <w:t>3. Linkage mapping generation</w:t>
            </w:r>
          </w:p>
        </w:tc>
        <w:tc>
          <w:tcPr>
            <w:tcW w:w="4230" w:type="dxa"/>
            <w:vAlign w:val="center"/>
          </w:tcPr>
          <w:p w14:paraId="1B263DCC" w14:textId="215A0DFB" w:rsidR="00B448C6" w:rsidRDefault="00D30794" w:rsidP="00B448C6">
            <w:r>
              <w:t>GPC CC</w:t>
            </w:r>
            <w:r w:rsidR="00B448C6">
              <w:t xml:space="preserve"> will aggregate hash token tables, perform deduplication and coordinate with leading site and VA to generate linkage mapping</w:t>
            </w:r>
            <w:r w:rsidR="002C26CA">
              <w:t xml:space="preserve"> (VA will be the linkage broker)</w:t>
            </w:r>
          </w:p>
        </w:tc>
        <w:tc>
          <w:tcPr>
            <w:tcW w:w="1350" w:type="dxa"/>
            <w:vAlign w:val="center"/>
          </w:tcPr>
          <w:p w14:paraId="251D7362" w14:textId="2E35290A" w:rsidR="00B448C6" w:rsidRDefault="00B448C6" w:rsidP="00B448C6">
            <w:pPr>
              <w:jc w:val="center"/>
            </w:pPr>
            <w:r>
              <w:rPr>
                <w:rFonts w:ascii="Calibri" w:hAnsi="Calibri" w:cs="Calibri"/>
                <w:color w:val="000000"/>
              </w:rPr>
              <w:t xml:space="preserve"> $ 2,340 </w:t>
            </w:r>
          </w:p>
        </w:tc>
        <w:tc>
          <w:tcPr>
            <w:tcW w:w="1710" w:type="dxa"/>
            <w:vAlign w:val="center"/>
          </w:tcPr>
          <w:p w14:paraId="75E039E2" w14:textId="2F371200" w:rsidR="00B448C6" w:rsidRDefault="00B448C6" w:rsidP="00B448C6">
            <w:pPr>
              <w:jc w:val="center"/>
            </w:pPr>
            <w:r>
              <w:rPr>
                <w:rFonts w:ascii="Calibri" w:hAnsi="Calibri" w:cs="Calibri"/>
                <w:color w:val="000000"/>
              </w:rPr>
              <w:t xml:space="preserve"> $ 2,340 </w:t>
            </w:r>
          </w:p>
        </w:tc>
        <w:tc>
          <w:tcPr>
            <w:tcW w:w="1530" w:type="dxa"/>
            <w:vAlign w:val="center"/>
          </w:tcPr>
          <w:p w14:paraId="361997A7" w14:textId="7D9277EC" w:rsidR="00B448C6" w:rsidRDefault="00B448C6" w:rsidP="00B448C6">
            <w:pPr>
              <w:jc w:val="center"/>
            </w:pPr>
            <w:r>
              <w:rPr>
                <w:rFonts w:ascii="Calibri" w:hAnsi="Calibri" w:cs="Calibri"/>
                <w:color w:val="000000"/>
              </w:rPr>
              <w:t xml:space="preserve"> $ 780 </w:t>
            </w:r>
          </w:p>
        </w:tc>
      </w:tr>
      <w:tr w:rsidR="00B448C6" w14:paraId="452C90BD" w14:textId="3B5C145E" w:rsidTr="00C3015C">
        <w:tc>
          <w:tcPr>
            <w:tcW w:w="1795" w:type="dxa"/>
            <w:vAlign w:val="center"/>
          </w:tcPr>
          <w:p w14:paraId="7DB6DB11" w14:textId="2AE06D35" w:rsidR="00B448C6" w:rsidRDefault="00B448C6" w:rsidP="00B448C6">
            <w:r>
              <w:t xml:space="preserve">4. Analysis and Result Dissemination </w:t>
            </w:r>
          </w:p>
        </w:tc>
        <w:tc>
          <w:tcPr>
            <w:tcW w:w="4230" w:type="dxa"/>
            <w:vAlign w:val="center"/>
          </w:tcPr>
          <w:p w14:paraId="6AFF0712" w14:textId="6B8536B0" w:rsidR="00B448C6" w:rsidRDefault="00B448C6" w:rsidP="00B448C6">
            <w:r>
              <w:t>A</w:t>
            </w:r>
            <w:r w:rsidRPr="000B3867">
              <w:t xml:space="preserve">uthorized analysts at </w:t>
            </w:r>
            <w:r w:rsidR="00FF73FE">
              <w:t xml:space="preserve">CC and </w:t>
            </w:r>
            <w:r w:rsidR="00DA3DA1">
              <w:t>VA</w:t>
            </w:r>
            <w:r w:rsidRPr="000B3867">
              <w:t xml:space="preserve"> will perform overlapping analysis</w:t>
            </w:r>
            <w:r w:rsidR="00DA3DA1">
              <w:t xml:space="preserve"> and disseminate </w:t>
            </w:r>
            <w:r w:rsidR="001B6130">
              <w:t xml:space="preserve">results back to sites. </w:t>
            </w:r>
          </w:p>
        </w:tc>
        <w:tc>
          <w:tcPr>
            <w:tcW w:w="1350" w:type="dxa"/>
            <w:vAlign w:val="center"/>
          </w:tcPr>
          <w:p w14:paraId="54BF2CF5" w14:textId="0AF45EF2" w:rsidR="00B448C6" w:rsidRDefault="00B448C6" w:rsidP="00B448C6">
            <w:pPr>
              <w:jc w:val="center"/>
            </w:pPr>
            <w:r>
              <w:rPr>
                <w:rFonts w:ascii="Calibri" w:hAnsi="Calibri" w:cs="Calibri"/>
                <w:color w:val="000000"/>
              </w:rPr>
              <w:t xml:space="preserve"> $ </w:t>
            </w:r>
            <w:r w:rsidR="00F65087">
              <w:rPr>
                <w:rFonts w:ascii="Calibri" w:hAnsi="Calibri" w:cs="Calibri"/>
                <w:color w:val="000000"/>
              </w:rPr>
              <w:t>624</w:t>
            </w:r>
          </w:p>
        </w:tc>
        <w:tc>
          <w:tcPr>
            <w:tcW w:w="1710" w:type="dxa"/>
            <w:vAlign w:val="center"/>
          </w:tcPr>
          <w:p w14:paraId="22FEB0C3" w14:textId="4A45C89E" w:rsidR="00B448C6" w:rsidRDefault="00B448C6" w:rsidP="00B448C6">
            <w:pPr>
              <w:jc w:val="center"/>
            </w:pPr>
            <w:r>
              <w:rPr>
                <w:rFonts w:ascii="Calibri" w:hAnsi="Calibri" w:cs="Calibri"/>
                <w:color w:val="000000"/>
              </w:rPr>
              <w:t xml:space="preserve"> $ </w:t>
            </w:r>
            <w:r w:rsidR="00F65087">
              <w:rPr>
                <w:rFonts w:ascii="Calibri" w:hAnsi="Calibri" w:cs="Calibri"/>
                <w:color w:val="000000"/>
              </w:rPr>
              <w:t>546</w:t>
            </w:r>
            <w:r>
              <w:rPr>
                <w:rFonts w:ascii="Calibri" w:hAnsi="Calibri" w:cs="Calibri"/>
                <w:color w:val="000000"/>
              </w:rPr>
              <w:t xml:space="preserve">   </w:t>
            </w:r>
          </w:p>
        </w:tc>
        <w:tc>
          <w:tcPr>
            <w:tcW w:w="1530" w:type="dxa"/>
            <w:vAlign w:val="center"/>
          </w:tcPr>
          <w:p w14:paraId="56862E5B" w14:textId="5D7089E7" w:rsidR="00B448C6" w:rsidRDefault="00B448C6" w:rsidP="00B448C6">
            <w:pPr>
              <w:jc w:val="center"/>
            </w:pPr>
            <w:r>
              <w:rPr>
                <w:rFonts w:ascii="Calibri" w:hAnsi="Calibri" w:cs="Calibri"/>
                <w:color w:val="000000"/>
              </w:rPr>
              <w:t xml:space="preserve"> $ -   </w:t>
            </w:r>
          </w:p>
        </w:tc>
      </w:tr>
      <w:tr w:rsidR="00B448C6" w14:paraId="48D3282C" w14:textId="089DCBFF" w:rsidTr="00C3015C">
        <w:tc>
          <w:tcPr>
            <w:tcW w:w="1795" w:type="dxa"/>
            <w:vAlign w:val="center"/>
          </w:tcPr>
          <w:p w14:paraId="1ED45537" w14:textId="1CB8EB66" w:rsidR="00B448C6" w:rsidRPr="003C4DC5" w:rsidRDefault="00B448C6" w:rsidP="00B448C6">
            <w:pPr>
              <w:rPr>
                <w:b/>
                <w:bCs/>
              </w:rPr>
            </w:pPr>
            <w:r w:rsidRPr="003C4DC5">
              <w:rPr>
                <w:b/>
                <w:bCs/>
              </w:rPr>
              <w:t>Total</w:t>
            </w:r>
          </w:p>
        </w:tc>
        <w:tc>
          <w:tcPr>
            <w:tcW w:w="4230" w:type="dxa"/>
            <w:vAlign w:val="center"/>
          </w:tcPr>
          <w:p w14:paraId="3484A93A" w14:textId="77777777" w:rsidR="00B448C6" w:rsidRDefault="00B448C6" w:rsidP="00B448C6">
            <w:pPr>
              <w:jc w:val="right"/>
            </w:pPr>
          </w:p>
        </w:tc>
        <w:tc>
          <w:tcPr>
            <w:tcW w:w="1350" w:type="dxa"/>
            <w:vAlign w:val="center"/>
          </w:tcPr>
          <w:p w14:paraId="736A1C78" w14:textId="7D2ECBD3" w:rsidR="00B448C6" w:rsidRDefault="00B448C6" w:rsidP="00B448C6">
            <w:pPr>
              <w:jc w:val="center"/>
            </w:pPr>
            <w:r>
              <w:rPr>
                <w:rFonts w:ascii="Calibri" w:hAnsi="Calibri" w:cs="Calibri"/>
                <w:b/>
                <w:bCs/>
                <w:color w:val="000000"/>
              </w:rPr>
              <w:t xml:space="preserve"> $ </w:t>
            </w:r>
            <w:r w:rsidR="00252391">
              <w:rPr>
                <w:rFonts w:ascii="Calibri" w:hAnsi="Calibri" w:cs="Calibri"/>
                <w:b/>
                <w:bCs/>
                <w:color w:val="000000"/>
              </w:rPr>
              <w:t>7,</w:t>
            </w:r>
            <w:r w:rsidR="00F65087">
              <w:rPr>
                <w:rFonts w:ascii="Calibri" w:hAnsi="Calibri" w:cs="Calibri"/>
                <w:b/>
                <w:bCs/>
                <w:color w:val="000000"/>
              </w:rPr>
              <w:t>310</w:t>
            </w:r>
            <w:r>
              <w:rPr>
                <w:rFonts w:ascii="Calibri" w:hAnsi="Calibri" w:cs="Calibri"/>
                <w:b/>
                <w:bCs/>
                <w:color w:val="000000"/>
              </w:rPr>
              <w:t xml:space="preserve"> </w:t>
            </w:r>
          </w:p>
        </w:tc>
        <w:tc>
          <w:tcPr>
            <w:tcW w:w="1710" w:type="dxa"/>
            <w:vAlign w:val="center"/>
          </w:tcPr>
          <w:p w14:paraId="03E24513" w14:textId="61C27079" w:rsidR="00B448C6" w:rsidRDefault="00B448C6" w:rsidP="00B448C6">
            <w:pPr>
              <w:jc w:val="center"/>
            </w:pPr>
            <w:r>
              <w:rPr>
                <w:rFonts w:ascii="Calibri" w:hAnsi="Calibri" w:cs="Calibri"/>
                <w:b/>
                <w:bCs/>
                <w:color w:val="000000"/>
              </w:rPr>
              <w:t xml:space="preserve"> $ </w:t>
            </w:r>
            <w:r w:rsidR="00F65087">
              <w:rPr>
                <w:rFonts w:ascii="Calibri" w:hAnsi="Calibri" w:cs="Calibri"/>
                <w:b/>
                <w:bCs/>
                <w:color w:val="000000"/>
              </w:rPr>
              <w:t>8,029</w:t>
            </w:r>
            <w:r>
              <w:rPr>
                <w:rFonts w:ascii="Calibri" w:hAnsi="Calibri" w:cs="Calibri"/>
                <w:b/>
                <w:bCs/>
                <w:color w:val="000000"/>
              </w:rPr>
              <w:t xml:space="preserve"> </w:t>
            </w:r>
          </w:p>
        </w:tc>
        <w:tc>
          <w:tcPr>
            <w:tcW w:w="1530" w:type="dxa"/>
            <w:vAlign w:val="center"/>
          </w:tcPr>
          <w:p w14:paraId="28A7A405" w14:textId="03BC3F1A" w:rsidR="00B448C6" w:rsidRDefault="00B448C6" w:rsidP="00B448C6">
            <w:pPr>
              <w:jc w:val="center"/>
            </w:pPr>
            <w:r>
              <w:rPr>
                <w:rFonts w:ascii="Calibri" w:hAnsi="Calibri" w:cs="Calibri"/>
                <w:b/>
                <w:bCs/>
                <w:color w:val="000000"/>
              </w:rPr>
              <w:t xml:space="preserve"> $ 2,</w:t>
            </w:r>
            <w:r w:rsidR="003D67B7">
              <w:rPr>
                <w:rFonts w:ascii="Calibri" w:hAnsi="Calibri" w:cs="Calibri"/>
                <w:b/>
                <w:bCs/>
                <w:color w:val="000000"/>
              </w:rPr>
              <w:t>963</w:t>
            </w:r>
            <w:r>
              <w:rPr>
                <w:rFonts w:ascii="Calibri" w:hAnsi="Calibri" w:cs="Calibri"/>
                <w:b/>
                <w:bCs/>
                <w:color w:val="000000"/>
              </w:rPr>
              <w:t xml:space="preserve"> </w:t>
            </w:r>
          </w:p>
        </w:tc>
      </w:tr>
    </w:tbl>
    <w:p w14:paraId="529A30C9" w14:textId="5B6C0BD9" w:rsidR="009976AC" w:rsidRDefault="005B36D6" w:rsidP="00694FC0">
      <w:pPr>
        <w:spacing w:after="0"/>
      </w:pPr>
      <w:r>
        <w:t>* Assume coordinating site</w:t>
      </w:r>
      <w:r w:rsidR="00D750CD">
        <w:t xml:space="preserve"> (MU)</w:t>
      </w:r>
      <w:r>
        <w:t xml:space="preserve"> is also performing site</w:t>
      </w:r>
      <w:r w:rsidR="00694FC0">
        <w:t xml:space="preserve">, and </w:t>
      </w:r>
      <w:r w:rsidR="009E194A">
        <w:t>leading site (Utah) is also performing site</w:t>
      </w:r>
    </w:p>
    <w:p w14:paraId="3EE18E3A" w14:textId="43A08A76" w:rsidR="009E194A" w:rsidRDefault="0033391D">
      <w:r>
        <w:t xml:space="preserve">In accordance with master </w:t>
      </w:r>
      <w:r w:rsidR="007D62A4">
        <w:t>fee</w:t>
      </w:r>
      <w:r>
        <w:t xml:space="preserve"> schedule described in the Datavant Order form, GPC CC will </w:t>
      </w:r>
      <w:r w:rsidR="00340424">
        <w:t>make payment to</w:t>
      </w:r>
      <w:r w:rsidR="00DB67FF">
        <w:t xml:space="preserve"> </w:t>
      </w:r>
      <w:r w:rsidR="00766708">
        <w:t xml:space="preserve">sites at once upon the completion of milestone 3. </w:t>
      </w:r>
    </w:p>
    <w:sectPr w:rsidR="009E194A" w:rsidSect="00D23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F8"/>
    <w:rsid w:val="00000B4A"/>
    <w:rsid w:val="00025B36"/>
    <w:rsid w:val="00026027"/>
    <w:rsid w:val="000323C2"/>
    <w:rsid w:val="00032CE9"/>
    <w:rsid w:val="000411AC"/>
    <w:rsid w:val="00045089"/>
    <w:rsid w:val="000505E7"/>
    <w:rsid w:val="000742A5"/>
    <w:rsid w:val="000B3867"/>
    <w:rsid w:val="000B7E63"/>
    <w:rsid w:val="000E4662"/>
    <w:rsid w:val="000F46D0"/>
    <w:rsid w:val="000F4A2B"/>
    <w:rsid w:val="000F4A39"/>
    <w:rsid w:val="00125F79"/>
    <w:rsid w:val="001547CC"/>
    <w:rsid w:val="001610AD"/>
    <w:rsid w:val="00165851"/>
    <w:rsid w:val="00173E29"/>
    <w:rsid w:val="00175F0B"/>
    <w:rsid w:val="001B6130"/>
    <w:rsid w:val="001F77D1"/>
    <w:rsid w:val="00204D14"/>
    <w:rsid w:val="00233842"/>
    <w:rsid w:val="00252391"/>
    <w:rsid w:val="00253CB2"/>
    <w:rsid w:val="00272AF6"/>
    <w:rsid w:val="002954E7"/>
    <w:rsid w:val="002A0CAB"/>
    <w:rsid w:val="002C26CA"/>
    <w:rsid w:val="002D2CF5"/>
    <w:rsid w:val="002E4343"/>
    <w:rsid w:val="002F09EB"/>
    <w:rsid w:val="002F442B"/>
    <w:rsid w:val="00301FB5"/>
    <w:rsid w:val="003058AC"/>
    <w:rsid w:val="0030608F"/>
    <w:rsid w:val="003256FA"/>
    <w:rsid w:val="003267DB"/>
    <w:rsid w:val="0033250C"/>
    <w:rsid w:val="0033391D"/>
    <w:rsid w:val="00340424"/>
    <w:rsid w:val="0034520E"/>
    <w:rsid w:val="00357F33"/>
    <w:rsid w:val="0036182B"/>
    <w:rsid w:val="003664F1"/>
    <w:rsid w:val="00372A12"/>
    <w:rsid w:val="00376D62"/>
    <w:rsid w:val="003A3EAB"/>
    <w:rsid w:val="003A5E0E"/>
    <w:rsid w:val="003C4DC5"/>
    <w:rsid w:val="003C6866"/>
    <w:rsid w:val="003D67B7"/>
    <w:rsid w:val="00470006"/>
    <w:rsid w:val="0048232D"/>
    <w:rsid w:val="00484700"/>
    <w:rsid w:val="00484C24"/>
    <w:rsid w:val="004B21D4"/>
    <w:rsid w:val="004B6D76"/>
    <w:rsid w:val="004B7A3C"/>
    <w:rsid w:val="004E327F"/>
    <w:rsid w:val="00506EC0"/>
    <w:rsid w:val="00506F53"/>
    <w:rsid w:val="0051488B"/>
    <w:rsid w:val="0055351D"/>
    <w:rsid w:val="00556870"/>
    <w:rsid w:val="0056095B"/>
    <w:rsid w:val="00562806"/>
    <w:rsid w:val="0056727C"/>
    <w:rsid w:val="00572C5D"/>
    <w:rsid w:val="0057440A"/>
    <w:rsid w:val="00581B3A"/>
    <w:rsid w:val="00583E2D"/>
    <w:rsid w:val="0059151D"/>
    <w:rsid w:val="00595024"/>
    <w:rsid w:val="005A2FB2"/>
    <w:rsid w:val="005B064D"/>
    <w:rsid w:val="005B36D6"/>
    <w:rsid w:val="005C4FD0"/>
    <w:rsid w:val="005F7555"/>
    <w:rsid w:val="00600B60"/>
    <w:rsid w:val="00600DE3"/>
    <w:rsid w:val="00607270"/>
    <w:rsid w:val="006138B3"/>
    <w:rsid w:val="00632695"/>
    <w:rsid w:val="0065042E"/>
    <w:rsid w:val="006565ED"/>
    <w:rsid w:val="00657D07"/>
    <w:rsid w:val="00671F7C"/>
    <w:rsid w:val="00691251"/>
    <w:rsid w:val="00694FC0"/>
    <w:rsid w:val="006A05BB"/>
    <w:rsid w:val="006A46A8"/>
    <w:rsid w:val="006B0267"/>
    <w:rsid w:val="006B330B"/>
    <w:rsid w:val="006B5D9E"/>
    <w:rsid w:val="006B60B8"/>
    <w:rsid w:val="006C1A6B"/>
    <w:rsid w:val="006D22EF"/>
    <w:rsid w:val="006D51DC"/>
    <w:rsid w:val="006E28CD"/>
    <w:rsid w:val="006F20AF"/>
    <w:rsid w:val="007002DC"/>
    <w:rsid w:val="00706E0E"/>
    <w:rsid w:val="007141F8"/>
    <w:rsid w:val="007222DF"/>
    <w:rsid w:val="0072593D"/>
    <w:rsid w:val="00746AE7"/>
    <w:rsid w:val="00766708"/>
    <w:rsid w:val="007763D7"/>
    <w:rsid w:val="00786E20"/>
    <w:rsid w:val="007B09F4"/>
    <w:rsid w:val="007C7C51"/>
    <w:rsid w:val="007D34BB"/>
    <w:rsid w:val="007D62A4"/>
    <w:rsid w:val="007D6FA7"/>
    <w:rsid w:val="007F4C1B"/>
    <w:rsid w:val="00802403"/>
    <w:rsid w:val="008062E0"/>
    <w:rsid w:val="00817E87"/>
    <w:rsid w:val="008510CC"/>
    <w:rsid w:val="008522EC"/>
    <w:rsid w:val="008772A0"/>
    <w:rsid w:val="008B2CDB"/>
    <w:rsid w:val="008B695E"/>
    <w:rsid w:val="008F17A7"/>
    <w:rsid w:val="00951919"/>
    <w:rsid w:val="00976E8D"/>
    <w:rsid w:val="00982F68"/>
    <w:rsid w:val="00992425"/>
    <w:rsid w:val="009976AC"/>
    <w:rsid w:val="009A6BDD"/>
    <w:rsid w:val="009C684A"/>
    <w:rsid w:val="009C730E"/>
    <w:rsid w:val="009D2587"/>
    <w:rsid w:val="009E14FA"/>
    <w:rsid w:val="009E194A"/>
    <w:rsid w:val="00A306FF"/>
    <w:rsid w:val="00A410A6"/>
    <w:rsid w:val="00A43436"/>
    <w:rsid w:val="00A77C2C"/>
    <w:rsid w:val="00A84D02"/>
    <w:rsid w:val="00A963F8"/>
    <w:rsid w:val="00AC5EFB"/>
    <w:rsid w:val="00AC795D"/>
    <w:rsid w:val="00AD6E77"/>
    <w:rsid w:val="00AE5234"/>
    <w:rsid w:val="00B07726"/>
    <w:rsid w:val="00B23212"/>
    <w:rsid w:val="00B32AAA"/>
    <w:rsid w:val="00B448C6"/>
    <w:rsid w:val="00B6105C"/>
    <w:rsid w:val="00B70B31"/>
    <w:rsid w:val="00B71A05"/>
    <w:rsid w:val="00B728BF"/>
    <w:rsid w:val="00B804BE"/>
    <w:rsid w:val="00B9287E"/>
    <w:rsid w:val="00BB333F"/>
    <w:rsid w:val="00BB3513"/>
    <w:rsid w:val="00BB63BA"/>
    <w:rsid w:val="00BF32B0"/>
    <w:rsid w:val="00C26E0A"/>
    <w:rsid w:val="00C3015C"/>
    <w:rsid w:val="00C62AE7"/>
    <w:rsid w:val="00CA7285"/>
    <w:rsid w:val="00CB0FAF"/>
    <w:rsid w:val="00CC048B"/>
    <w:rsid w:val="00CC2D52"/>
    <w:rsid w:val="00CD506B"/>
    <w:rsid w:val="00D2258F"/>
    <w:rsid w:val="00D23154"/>
    <w:rsid w:val="00D30794"/>
    <w:rsid w:val="00D3573C"/>
    <w:rsid w:val="00D41B92"/>
    <w:rsid w:val="00D750CD"/>
    <w:rsid w:val="00D757A8"/>
    <w:rsid w:val="00D918F9"/>
    <w:rsid w:val="00DA3DA1"/>
    <w:rsid w:val="00DB67FF"/>
    <w:rsid w:val="00DC0A18"/>
    <w:rsid w:val="00DD3953"/>
    <w:rsid w:val="00DE4D25"/>
    <w:rsid w:val="00E0245D"/>
    <w:rsid w:val="00E15BAF"/>
    <w:rsid w:val="00E175F8"/>
    <w:rsid w:val="00E46675"/>
    <w:rsid w:val="00E6414A"/>
    <w:rsid w:val="00EB09A7"/>
    <w:rsid w:val="00EC13AF"/>
    <w:rsid w:val="00EC66FE"/>
    <w:rsid w:val="00ED755D"/>
    <w:rsid w:val="00EE2942"/>
    <w:rsid w:val="00EF1796"/>
    <w:rsid w:val="00F15944"/>
    <w:rsid w:val="00F2400E"/>
    <w:rsid w:val="00F2430B"/>
    <w:rsid w:val="00F616AF"/>
    <w:rsid w:val="00F65087"/>
    <w:rsid w:val="00F675A6"/>
    <w:rsid w:val="00F71CEE"/>
    <w:rsid w:val="00F91288"/>
    <w:rsid w:val="00FA3D4E"/>
    <w:rsid w:val="00FA7C20"/>
    <w:rsid w:val="00F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85F1"/>
  <w15:chartTrackingRefBased/>
  <w15:docId w15:val="{A853EAA1-B63F-46EC-BF0F-BBA03B2F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12"/>
    <w:pPr>
      <w:spacing w:before="120" w:after="120" w:line="240" w:lineRule="auto"/>
    </w:pPr>
    <w:rPr>
      <w:rFonts w:ascii="Times New Roman" w:eastAsiaTheme="minorHAnsi" w:hAnsi="Times New Roman"/>
      <w:lang w:eastAsia="en-US"/>
    </w:rPr>
  </w:style>
  <w:style w:type="paragraph" w:styleId="Heading1">
    <w:name w:val="heading 1"/>
    <w:basedOn w:val="Normal"/>
    <w:next w:val="Normal"/>
    <w:link w:val="Heading1Char"/>
    <w:uiPriority w:val="9"/>
    <w:qFormat/>
    <w:rsid w:val="009C730E"/>
    <w:pPr>
      <w:keepNext/>
      <w:keepLines/>
      <w:outlineLvl w:val="0"/>
    </w:pPr>
    <w:rPr>
      <w:rFonts w:eastAsiaTheme="majorEastAsia" w:cstheme="majorBidi"/>
      <w:b/>
      <w:sz w:val="24"/>
      <w:szCs w:val="32"/>
      <w:lang w:eastAsia="zh-CN"/>
    </w:rPr>
  </w:style>
  <w:style w:type="paragraph" w:styleId="Heading2">
    <w:name w:val="heading 2"/>
    <w:basedOn w:val="Normal"/>
    <w:next w:val="Normal"/>
    <w:link w:val="Heading2Char"/>
    <w:uiPriority w:val="9"/>
    <w:unhideWhenUsed/>
    <w:qFormat/>
    <w:rsid w:val="00F91288"/>
    <w:pPr>
      <w:keepNext/>
      <w:keepLines/>
      <w:outlineLvl w:val="1"/>
    </w:pPr>
    <w:rPr>
      <w:rFonts w:ascii="Arial" w:eastAsiaTheme="majorEastAsia" w:hAnsi="Arial" w:cstheme="majorBidi"/>
      <w:b/>
      <w:i/>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91288"/>
    <w:rPr>
      <w:rFonts w:ascii="Arial" w:eastAsiaTheme="majorEastAsia" w:hAnsi="Arial" w:cstheme="majorBidi"/>
      <w:b/>
      <w:i/>
      <w:szCs w:val="26"/>
    </w:rPr>
  </w:style>
  <w:style w:type="table" w:styleId="TableGrid">
    <w:name w:val="Table Grid"/>
    <w:basedOn w:val="TableNormal"/>
    <w:uiPriority w:val="39"/>
    <w:rsid w:val="00B23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6D76"/>
    <w:rPr>
      <w:sz w:val="16"/>
      <w:szCs w:val="16"/>
    </w:rPr>
  </w:style>
  <w:style w:type="paragraph" w:styleId="CommentText">
    <w:name w:val="annotation text"/>
    <w:basedOn w:val="Normal"/>
    <w:link w:val="CommentTextChar"/>
    <w:uiPriority w:val="99"/>
    <w:semiHidden/>
    <w:unhideWhenUsed/>
    <w:rsid w:val="004B6D76"/>
    <w:rPr>
      <w:sz w:val="20"/>
      <w:szCs w:val="20"/>
    </w:rPr>
  </w:style>
  <w:style w:type="character" w:customStyle="1" w:styleId="CommentTextChar">
    <w:name w:val="Comment Text Char"/>
    <w:basedOn w:val="DefaultParagraphFont"/>
    <w:link w:val="CommentText"/>
    <w:uiPriority w:val="99"/>
    <w:semiHidden/>
    <w:rsid w:val="004B6D76"/>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B6D76"/>
    <w:rPr>
      <w:b/>
      <w:bCs/>
    </w:rPr>
  </w:style>
  <w:style w:type="character" w:customStyle="1" w:styleId="CommentSubjectChar">
    <w:name w:val="Comment Subject Char"/>
    <w:basedOn w:val="CommentTextChar"/>
    <w:link w:val="CommentSubject"/>
    <w:uiPriority w:val="99"/>
    <w:semiHidden/>
    <w:rsid w:val="004B6D76"/>
    <w:rPr>
      <w:rFonts w:ascii="Times New Roman" w:eastAsiaTheme="minorHAnsi" w:hAnsi="Times New Roman"/>
      <w:b/>
      <w:bCs/>
      <w:sz w:val="20"/>
      <w:szCs w:val="20"/>
      <w:lang w:eastAsia="en-US"/>
    </w:rPr>
  </w:style>
  <w:style w:type="paragraph" w:styleId="ListParagraph">
    <w:name w:val="List Paragraph"/>
    <w:basedOn w:val="Normal"/>
    <w:uiPriority w:val="34"/>
    <w:qFormat/>
    <w:rsid w:val="005B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C90EDBA55B24994D27E40D9B366FA" ma:contentTypeVersion="20" ma:contentTypeDescription="Create a new document." ma:contentTypeScope="" ma:versionID="d60bd7e8beab2b9268fd02eabda8f4fb">
  <xsd:schema xmlns:xsd="http://www.w3.org/2001/XMLSchema" xmlns:xs="http://www.w3.org/2001/XMLSchema" xmlns:p="http://schemas.microsoft.com/office/2006/metadata/properties" xmlns:ns1="http://schemas.microsoft.com/sharepoint/v3" xmlns:ns2="70e68cd6-7252-44ce-bf81-24cb873d0ea8" xmlns:ns3="9bd33661-7264-4633-9226-fba6aeef08ea" targetNamespace="http://schemas.microsoft.com/office/2006/metadata/properties" ma:root="true" ma:fieldsID="c4202949cbf0cf1ef38a66d11f7002ca" ns1:_="" ns2:_="" ns3:_="">
    <xsd:import namespace="http://schemas.microsoft.com/sharepoint/v3"/>
    <xsd:import namespace="70e68cd6-7252-44ce-bf81-24cb873d0ea8"/>
    <xsd:import namespace="9bd33661-7264-4633-9226-fba6aeef08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68cd6-7252-44ce-bf81-24cb873d0e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66685e-b8e2-41a1-9b4c-2fd07ae098fb}" ma:internalName="TaxCatchAll" ma:showField="CatchAllData" ma:web="70e68cd6-7252-44ce-bf81-24cb873d0e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33661-7264-4633-9226-fba6aeef08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Comment" ma:index="26" nillable="true" ma:displayName="Comment"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8205E0-04DB-42DA-AA58-BC16041AA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e68cd6-7252-44ce-bf81-24cb873d0ea8"/>
    <ds:schemaRef ds:uri="9bd33661-7264-4633-9226-fba6aeef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A86F8-40AA-439D-B1FD-35F50DF4C7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Xing</dc:creator>
  <cp:keywords/>
  <dc:description/>
  <cp:lastModifiedBy>Song, Xing</cp:lastModifiedBy>
  <cp:revision>47</cp:revision>
  <dcterms:created xsi:type="dcterms:W3CDTF">2022-08-25T15:02:00Z</dcterms:created>
  <dcterms:modified xsi:type="dcterms:W3CDTF">2023-01-27T18:09:00Z</dcterms:modified>
</cp:coreProperties>
</file>