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5B48E" w14:textId="0AB36551" w:rsidR="000D5A8A" w:rsidRDefault="0004489F">
      <w:pPr>
        <w:pStyle w:val="Heading1"/>
      </w:pPr>
      <w:r>
        <w:t xml:space="preserve">Participating Site Scope of Work </w:t>
      </w:r>
    </w:p>
    <w:p w14:paraId="7B1C9F46" w14:textId="3C1786D0" w:rsidR="000D5A8A" w:rsidRDefault="0004489F">
      <w:r w:rsidRPr="009143AC">
        <w:rPr>
          <w:b/>
          <w:bCs/>
        </w:rPr>
        <w:t>Project Title:</w:t>
      </w:r>
      <w:r w:rsidR="009143AC">
        <w:t xml:space="preserve"> </w:t>
      </w:r>
      <w:r>
        <w:t>Personalized Risk Stratification in Atrial Fibrillation using Portable, Explainable Artificial Intelligence</w:t>
      </w:r>
    </w:p>
    <w:p w14:paraId="14172BA8" w14:textId="32B01470" w:rsidR="000D5A8A" w:rsidRDefault="0004489F">
      <w:r w:rsidRPr="009143AC">
        <w:rPr>
          <w:b/>
          <w:bCs/>
        </w:rPr>
        <w:t>Principal Investigator:</w:t>
      </w:r>
      <w:r w:rsidR="009143AC">
        <w:t xml:space="preserve"> </w:t>
      </w:r>
      <w:r>
        <w:t xml:space="preserve">Benjamin Steinberg, </w:t>
      </w:r>
      <w:r w:rsidR="009143AC">
        <w:t>MD, MHS</w:t>
      </w:r>
    </w:p>
    <w:p w14:paraId="6BBE1582" w14:textId="7CDCB3C6" w:rsidR="00F47F1A" w:rsidRDefault="0004489F">
      <w:r w:rsidRPr="009143AC">
        <w:rPr>
          <w:b/>
          <w:bCs/>
        </w:rPr>
        <w:t>Lead Site:</w:t>
      </w:r>
      <w:r w:rsidR="009143AC">
        <w:t xml:space="preserve"> </w:t>
      </w:r>
      <w:r>
        <w:t>University of Utah</w:t>
      </w:r>
    </w:p>
    <w:p w14:paraId="5713BF4E" w14:textId="5AD208BB" w:rsidR="00F47F1A" w:rsidRPr="00F47F1A" w:rsidRDefault="00F47F1A">
      <w:r>
        <w:rPr>
          <w:b/>
          <w:bCs/>
        </w:rPr>
        <w:t xml:space="preserve">Data Coordinating </w:t>
      </w:r>
      <w:r w:rsidR="000D3B73">
        <w:rPr>
          <w:b/>
          <w:bCs/>
        </w:rPr>
        <w:t>Center</w:t>
      </w:r>
      <w:r>
        <w:rPr>
          <w:b/>
          <w:bCs/>
        </w:rPr>
        <w:t xml:space="preserve">: </w:t>
      </w:r>
      <w:r>
        <w:t>University of Missouri</w:t>
      </w:r>
    </w:p>
    <w:p w14:paraId="0CAAF48F" w14:textId="61BFABC6" w:rsidR="000D5A8A" w:rsidRDefault="0004489F">
      <w:r w:rsidRPr="009143AC">
        <w:rPr>
          <w:b/>
          <w:bCs/>
        </w:rPr>
        <w:t>Performance Period:</w:t>
      </w:r>
      <w:r w:rsidR="009143AC">
        <w:t xml:space="preserve"> </w:t>
      </w:r>
      <w:r>
        <w:t>10/2024 – 9/2029</w:t>
      </w:r>
    </w:p>
    <w:p w14:paraId="1574BFE2" w14:textId="742EF993" w:rsidR="000D5A8A" w:rsidRDefault="0004489F">
      <w:r w:rsidRPr="009143AC">
        <w:rPr>
          <w:b/>
          <w:bCs/>
        </w:rPr>
        <w:t>Sponsor:</w:t>
      </w:r>
      <w:r w:rsidR="009143AC">
        <w:t xml:space="preserve"> </w:t>
      </w:r>
      <w:r>
        <w:t xml:space="preserve"> NIH</w:t>
      </w:r>
    </w:p>
    <w:p w14:paraId="3AF201D7" w14:textId="77777777" w:rsidR="000D5A8A" w:rsidRDefault="000D5A8A"/>
    <w:p w14:paraId="713D6C8B" w14:textId="77777777" w:rsidR="000D5A8A" w:rsidRPr="000D2153" w:rsidRDefault="0004489F">
      <w:pPr>
        <w:pStyle w:val="Heading2"/>
        <w:rPr>
          <w:color w:val="365F91" w:themeColor="accent1" w:themeShade="BF"/>
        </w:rPr>
      </w:pPr>
      <w:r w:rsidRPr="000D2153">
        <w:rPr>
          <w:color w:val="365F91" w:themeColor="accent1" w:themeShade="BF"/>
        </w:rPr>
        <w:t>Overview for Participating Sites</w:t>
      </w:r>
    </w:p>
    <w:p w14:paraId="5C7A0FB9" w14:textId="77777777" w:rsidR="000D5A8A" w:rsidRDefault="0004489F">
      <w:r>
        <w:t>This study aims to develop an AI-driven risk stratification tool to enhance stroke prevention in atrial fibrillation (AF) patients. Participating GPC sites will support the project by contributing data, assisting with linkage efforts, and collaborating on regulatory processes.</w:t>
      </w:r>
    </w:p>
    <w:p w14:paraId="14114F96" w14:textId="1C94BDC6" w:rsidR="00870265" w:rsidRPr="000D2153" w:rsidRDefault="0004489F" w:rsidP="00870265">
      <w:pPr>
        <w:pStyle w:val="Heading2"/>
        <w:rPr>
          <w:color w:val="365F91" w:themeColor="accent1" w:themeShade="BF"/>
        </w:rPr>
      </w:pPr>
      <w:r w:rsidRPr="000D2153">
        <w:rPr>
          <w:color w:val="365F91" w:themeColor="accent1" w:themeShade="BF"/>
        </w:rPr>
        <w:t xml:space="preserve">Site Responsibilities </w:t>
      </w:r>
    </w:p>
    <w:p w14:paraId="3DE95DB5" w14:textId="77777777" w:rsidR="00870265" w:rsidRDefault="0004489F" w:rsidP="00870265">
      <w:pPr>
        <w:pStyle w:val="ListParagraph"/>
        <w:numPr>
          <w:ilvl w:val="0"/>
          <w:numId w:val="13"/>
        </w:numPr>
      </w:pPr>
      <w:r>
        <w:t>IRB and Regulatory Compliance</w:t>
      </w:r>
    </w:p>
    <w:p w14:paraId="76CDE3F8" w14:textId="4B1E69B0" w:rsidR="0087413C" w:rsidRDefault="0087413C" w:rsidP="0087413C">
      <w:pPr>
        <w:pStyle w:val="ListParagraph"/>
        <w:numPr>
          <w:ilvl w:val="1"/>
          <w:numId w:val="13"/>
        </w:numPr>
      </w:pPr>
      <w:r>
        <w:t>University of Utah will be Primary IRB site</w:t>
      </w:r>
    </w:p>
    <w:p w14:paraId="650E994D" w14:textId="4ABD48BB" w:rsidR="00870265" w:rsidRDefault="007E71EC" w:rsidP="00870265">
      <w:pPr>
        <w:pStyle w:val="ListParagraph"/>
        <w:numPr>
          <w:ilvl w:val="1"/>
          <w:numId w:val="13"/>
        </w:numPr>
      </w:pPr>
      <w:r>
        <w:t>Participating</w:t>
      </w:r>
      <w:r w:rsidR="0004489F">
        <w:t xml:space="preserve"> in SMART IRB reliance or obtain local IRB approval as need</w:t>
      </w:r>
      <w:r>
        <w:t>ed</w:t>
      </w:r>
    </w:p>
    <w:p w14:paraId="069F8FD4" w14:textId="1DB7FB52" w:rsidR="00A77FC5" w:rsidRDefault="00866705" w:rsidP="00A77FC5">
      <w:pPr>
        <w:pStyle w:val="ListParagraph"/>
        <w:numPr>
          <w:ilvl w:val="0"/>
          <w:numId w:val="13"/>
        </w:numPr>
      </w:pPr>
      <w:r>
        <w:t>DUA/</w:t>
      </w:r>
      <w:r w:rsidR="00A77FC5">
        <w:t>D</w:t>
      </w:r>
      <w:r w:rsidR="00F94D9A">
        <w:t>S</w:t>
      </w:r>
      <w:r w:rsidR="00A77FC5">
        <w:t>A Requirements</w:t>
      </w:r>
    </w:p>
    <w:p w14:paraId="325D77B5" w14:textId="50AF437E" w:rsidR="00A77FC5" w:rsidRDefault="00A77FC5" w:rsidP="00A77FC5">
      <w:pPr>
        <w:pStyle w:val="ListParagraph"/>
        <w:numPr>
          <w:ilvl w:val="1"/>
          <w:numId w:val="13"/>
        </w:numPr>
      </w:pPr>
      <w:r>
        <w:t xml:space="preserve">Sites submitting PHI must enter into a study-specific </w:t>
      </w:r>
      <w:r w:rsidR="00E36973">
        <w:t>DUA</w:t>
      </w:r>
      <w:r w:rsidR="00254280">
        <w:t>/</w:t>
      </w:r>
      <w:r w:rsidR="006B3E2F">
        <w:t>D</w:t>
      </w:r>
      <w:r w:rsidR="001A51D0">
        <w:t>S</w:t>
      </w:r>
      <w:r w:rsidR="006B3E2F">
        <w:t xml:space="preserve">A </w:t>
      </w:r>
      <w:r>
        <w:t xml:space="preserve">the </w:t>
      </w:r>
      <w:r w:rsidR="000D6D9B">
        <w:t>Leading Site</w:t>
      </w:r>
      <w:r w:rsidR="00B61363">
        <w:t xml:space="preserve"> and/or Data Coordinating Center</w:t>
      </w:r>
    </w:p>
    <w:p w14:paraId="1D8EB417" w14:textId="7379C96F" w:rsidR="00A77FC5" w:rsidRDefault="00A77FC5" w:rsidP="007E71EC">
      <w:pPr>
        <w:pStyle w:val="ListParagraph"/>
        <w:numPr>
          <w:ilvl w:val="1"/>
          <w:numId w:val="13"/>
        </w:numPr>
      </w:pPr>
      <w:r>
        <w:t>Sites choosing local linkage and de-identification are exempt from this requirement.</w:t>
      </w:r>
    </w:p>
    <w:p w14:paraId="32D72CCA" w14:textId="77777777" w:rsidR="00870265" w:rsidRPr="00870265" w:rsidRDefault="0004489F" w:rsidP="00870265">
      <w:pPr>
        <w:pStyle w:val="ListParagraph"/>
        <w:numPr>
          <w:ilvl w:val="0"/>
          <w:numId w:val="13"/>
        </w:numPr>
      </w:pPr>
      <w:r>
        <w:t xml:space="preserve"> </w:t>
      </w:r>
      <w:r>
        <w:t>Data Preparation and Linkage</w:t>
      </w:r>
      <w:r w:rsidR="00870265">
        <w:t xml:space="preserve">. </w:t>
      </w:r>
      <w:r w:rsidR="00870265" w:rsidRPr="00870265">
        <w:rPr>
          <w:rStyle w:val="normaltextrun"/>
          <w:rFonts w:ascii="Cambria" w:hAnsi="Cambria"/>
        </w:rPr>
        <w:t xml:space="preserve">Provide </w:t>
      </w:r>
      <w:r w:rsidR="00870265" w:rsidRPr="00870265">
        <w:rPr>
          <w:rStyle w:val="normaltextrun"/>
          <w:rFonts w:ascii="Cambria" w:hAnsi="Cambria"/>
          <w:b/>
          <w:bCs/>
          <w:u w:val="single"/>
        </w:rPr>
        <w:t>one</w:t>
      </w:r>
      <w:r w:rsidR="00870265" w:rsidRPr="00870265">
        <w:rPr>
          <w:rStyle w:val="normaltextrun"/>
          <w:rFonts w:ascii="Cambria" w:hAnsi="Cambria"/>
        </w:rPr>
        <w:t xml:space="preserve"> of the following:</w:t>
      </w:r>
      <w:r w:rsidR="00870265" w:rsidRPr="00870265">
        <w:rPr>
          <w:rStyle w:val="scxw36193081"/>
          <w:rFonts w:ascii="Cambria" w:eastAsiaTheme="majorEastAsia" w:hAnsi="Cambria"/>
        </w:rPr>
        <w:t> </w:t>
      </w:r>
    </w:p>
    <w:p w14:paraId="04CC9A15" w14:textId="529E2578" w:rsidR="00870265" w:rsidRPr="00870265" w:rsidRDefault="009A6FE1" w:rsidP="00870265">
      <w:pPr>
        <w:pStyle w:val="ListParagraph"/>
        <w:numPr>
          <w:ilvl w:val="1"/>
          <w:numId w:val="13"/>
        </w:numPr>
        <w:rPr>
          <w:rStyle w:val="scxw36193081"/>
        </w:rPr>
      </w:pPr>
      <w:r>
        <w:rPr>
          <w:rStyle w:val="normaltextrun"/>
          <w:rFonts w:ascii="Cambria" w:hAnsi="Cambria"/>
        </w:rPr>
        <w:t xml:space="preserve">MU-as-Linkage-Broker: </w:t>
      </w:r>
      <w:r w:rsidR="00870265" w:rsidRPr="00870265">
        <w:rPr>
          <w:rStyle w:val="normaltextrun"/>
          <w:rFonts w:ascii="Cambria" w:hAnsi="Cambria"/>
        </w:rPr>
        <w:t>Finder files that include names, addresses, and PATIDs</w:t>
      </w:r>
      <w:r w:rsidR="00870265" w:rsidRPr="00870265">
        <w:rPr>
          <w:rStyle w:val="scxw36193081"/>
          <w:rFonts w:ascii="Cambria" w:eastAsiaTheme="majorEastAsia" w:hAnsi="Cambria"/>
        </w:rPr>
        <w:t> </w:t>
      </w:r>
      <w:r w:rsidR="00FD5E4A">
        <w:rPr>
          <w:rStyle w:val="scxw36193081"/>
          <w:rFonts w:ascii="Cambria" w:eastAsiaTheme="majorEastAsia" w:hAnsi="Cambria"/>
        </w:rPr>
        <w:t xml:space="preserve">submitted to MU </w:t>
      </w:r>
      <w:r w:rsidR="00870265" w:rsidRPr="00870265">
        <w:rPr>
          <w:rStyle w:val="normaltextrun"/>
          <w:rFonts w:ascii="Cambria" w:hAnsi="Cambria"/>
        </w:rPr>
        <w:t>[PHI transmission required]</w:t>
      </w:r>
      <w:r w:rsidR="00870265" w:rsidRPr="00870265">
        <w:rPr>
          <w:rStyle w:val="scxw36193081"/>
          <w:rFonts w:ascii="Cambria" w:eastAsiaTheme="majorEastAsia" w:hAnsi="Cambria"/>
        </w:rPr>
        <w:t> </w:t>
      </w:r>
    </w:p>
    <w:p w14:paraId="052B5C48" w14:textId="7CF1A92C" w:rsidR="00870265" w:rsidRPr="00870265" w:rsidRDefault="00870265" w:rsidP="00870265">
      <w:pPr>
        <w:ind w:left="720" w:firstLine="720"/>
      </w:pPr>
      <w:r w:rsidRPr="00870265">
        <w:rPr>
          <w:rStyle w:val="scxw36193081"/>
          <w:rFonts w:ascii="Cambria" w:eastAsiaTheme="majorEastAsia" w:hAnsi="Cambria"/>
        </w:rPr>
        <w:t>OR</w:t>
      </w:r>
    </w:p>
    <w:p w14:paraId="3481802E" w14:textId="0C54ACF4" w:rsidR="00870265" w:rsidRPr="00870265" w:rsidRDefault="00FD5E4A" w:rsidP="00870265">
      <w:pPr>
        <w:pStyle w:val="ListParagraph"/>
        <w:numPr>
          <w:ilvl w:val="1"/>
          <w:numId w:val="13"/>
        </w:numPr>
        <w:rPr>
          <w:rStyle w:val="eop"/>
        </w:rPr>
      </w:pPr>
      <w:r>
        <w:rPr>
          <w:rStyle w:val="normaltextrun"/>
          <w:rFonts w:ascii="Cambria" w:hAnsi="Cambria"/>
        </w:rPr>
        <w:t xml:space="preserve">Site-as-Linkage-Broker: </w:t>
      </w:r>
      <w:r w:rsidR="00870265" w:rsidRPr="00870265">
        <w:rPr>
          <w:rStyle w:val="normaltextrun"/>
          <w:rFonts w:ascii="Cambria" w:hAnsi="Cambria"/>
        </w:rPr>
        <w:t>Perform Acxiom linkage locally and share de-identified dataset</w:t>
      </w:r>
      <w:r>
        <w:rPr>
          <w:rStyle w:val="normaltextrun"/>
          <w:rFonts w:ascii="Cambria" w:hAnsi="Cambria"/>
        </w:rPr>
        <w:t xml:space="preserve"> </w:t>
      </w:r>
      <w:r w:rsidR="00870265" w:rsidRPr="00870265">
        <w:rPr>
          <w:rStyle w:val="normaltextrun"/>
          <w:rFonts w:ascii="Cambria" w:hAnsi="Cambria"/>
        </w:rPr>
        <w:t>[No PHI transmission required]</w:t>
      </w:r>
      <w:r w:rsidR="00870265" w:rsidRPr="00870265">
        <w:rPr>
          <w:rStyle w:val="eop"/>
          <w:rFonts w:ascii="Cambria" w:eastAsiaTheme="majorEastAsia" w:hAnsi="Cambria"/>
        </w:rPr>
        <w:t> </w:t>
      </w:r>
    </w:p>
    <w:p w14:paraId="475235AA" w14:textId="77777777" w:rsidR="00870265" w:rsidRDefault="0004489F" w:rsidP="00870265">
      <w:pPr>
        <w:pStyle w:val="ListParagraph"/>
        <w:numPr>
          <w:ilvl w:val="0"/>
          <w:numId w:val="13"/>
        </w:numPr>
      </w:pPr>
      <w:r>
        <w:t xml:space="preserve"> Data Transfer</w:t>
      </w:r>
    </w:p>
    <w:p w14:paraId="00A0F203" w14:textId="77777777" w:rsidR="00870265" w:rsidRDefault="0004489F" w:rsidP="00870265">
      <w:pPr>
        <w:pStyle w:val="ListParagraph"/>
        <w:numPr>
          <w:ilvl w:val="1"/>
          <w:numId w:val="13"/>
        </w:numPr>
      </w:pPr>
      <w:r>
        <w:t xml:space="preserve">Sites will </w:t>
      </w:r>
      <w:r>
        <w:t>upload the prepared dataset—either a Finder File with PHI or a fully de-identified dataset (based on the approach taken in Step 2)—to a secure AWS S3 bucket provisioned for this project.</w:t>
      </w:r>
    </w:p>
    <w:p w14:paraId="0C713D21" w14:textId="77777777" w:rsidR="00870265" w:rsidRDefault="00870265" w:rsidP="00870265"/>
    <w:p w14:paraId="7C89DD57" w14:textId="28D89BA3" w:rsidR="00870265" w:rsidRDefault="00870265" w:rsidP="00870265">
      <w:pPr>
        <w:pStyle w:val="Heading2"/>
      </w:pPr>
      <w:r>
        <w:lastRenderedPageBreak/>
        <w:t xml:space="preserve">Deliverables </w:t>
      </w:r>
    </w:p>
    <w:p w14:paraId="53046331" w14:textId="77777777" w:rsidR="00870265" w:rsidRDefault="0004489F" w:rsidP="00870265">
      <w:pPr>
        <w:pStyle w:val="ListParagraph"/>
        <w:numPr>
          <w:ilvl w:val="0"/>
          <w:numId w:val="17"/>
        </w:numPr>
      </w:pPr>
      <w:r>
        <w:t>Completed IRB documentation (reliance or local approval)</w:t>
      </w:r>
    </w:p>
    <w:p w14:paraId="037968C1" w14:textId="77777777" w:rsidR="00870265" w:rsidRDefault="0004489F" w:rsidP="00870265">
      <w:pPr>
        <w:pStyle w:val="ListParagraph"/>
        <w:numPr>
          <w:ilvl w:val="0"/>
          <w:numId w:val="17"/>
        </w:numPr>
      </w:pPr>
      <w:r>
        <w:t xml:space="preserve">Executed Data Sharing Agreement (if PHI is being </w:t>
      </w:r>
      <w:r>
        <w:t>submitted)</w:t>
      </w:r>
    </w:p>
    <w:p w14:paraId="608AA17A" w14:textId="5DDD0799" w:rsidR="000D5A8A" w:rsidRDefault="0004489F" w:rsidP="00870265">
      <w:pPr>
        <w:pStyle w:val="ListParagraph"/>
        <w:numPr>
          <w:ilvl w:val="0"/>
          <w:numId w:val="17"/>
        </w:numPr>
      </w:pPr>
      <w:r>
        <w:t>Final de-identified dataset OR Finder File for linkage</w:t>
      </w:r>
    </w:p>
    <w:p w14:paraId="4161BB2F" w14:textId="77777777" w:rsidR="000D5A8A" w:rsidRPr="000D2153" w:rsidRDefault="0004489F">
      <w:pPr>
        <w:pStyle w:val="Heading2"/>
        <w:rPr>
          <w:color w:val="365F91" w:themeColor="accent1" w:themeShade="BF"/>
        </w:rPr>
      </w:pPr>
      <w:r w:rsidRPr="000D2153">
        <w:rPr>
          <w:color w:val="365F91" w:themeColor="accent1" w:themeShade="BF"/>
        </w:rPr>
        <w:t>Site Payments</w:t>
      </w:r>
    </w:p>
    <w:tbl>
      <w:tblPr>
        <w:tblStyle w:val="TableGrid"/>
        <w:tblW w:w="0" w:type="auto"/>
        <w:tblLook w:val="04A0" w:firstRow="1" w:lastRow="0" w:firstColumn="1" w:lastColumn="0" w:noHBand="0" w:noVBand="1"/>
      </w:tblPr>
      <w:tblGrid>
        <w:gridCol w:w="4320"/>
        <w:gridCol w:w="4320"/>
      </w:tblGrid>
      <w:tr w:rsidR="000D5A8A" w14:paraId="4DB58B3C" w14:textId="77777777">
        <w:tc>
          <w:tcPr>
            <w:tcW w:w="4320" w:type="dxa"/>
          </w:tcPr>
          <w:p w14:paraId="5D56C932" w14:textId="77777777" w:rsidR="000D5A8A" w:rsidRDefault="0004489F">
            <w:r>
              <w:t>Budget Item</w:t>
            </w:r>
          </w:p>
        </w:tc>
        <w:tc>
          <w:tcPr>
            <w:tcW w:w="4320" w:type="dxa"/>
          </w:tcPr>
          <w:p w14:paraId="65717C2C" w14:textId="78716F16" w:rsidR="000D5A8A" w:rsidRDefault="0004489F">
            <w:r>
              <w:t xml:space="preserve">Amount </w:t>
            </w:r>
          </w:p>
        </w:tc>
      </w:tr>
      <w:tr w:rsidR="000D5A8A" w14:paraId="0C4A9D05" w14:textId="77777777">
        <w:tc>
          <w:tcPr>
            <w:tcW w:w="4320" w:type="dxa"/>
          </w:tcPr>
          <w:p w14:paraId="48AB622D" w14:textId="77777777" w:rsidR="000D5A8A" w:rsidRDefault="0004489F">
            <w:r>
              <w:t>Administrative/Startup</w:t>
            </w:r>
          </w:p>
        </w:tc>
        <w:tc>
          <w:tcPr>
            <w:tcW w:w="4320" w:type="dxa"/>
          </w:tcPr>
          <w:p w14:paraId="71E228F8" w14:textId="32BFA018" w:rsidR="000D5A8A" w:rsidRDefault="00BB715C">
            <w:r>
              <w:t>$3,000</w:t>
            </w:r>
          </w:p>
        </w:tc>
      </w:tr>
      <w:tr w:rsidR="000D5A8A" w14:paraId="392F8764" w14:textId="77777777">
        <w:tc>
          <w:tcPr>
            <w:tcW w:w="4320" w:type="dxa"/>
          </w:tcPr>
          <w:p w14:paraId="25768416" w14:textId="77777777" w:rsidR="000D5A8A" w:rsidRDefault="0004489F">
            <w:r>
              <w:t>GPC ICR</w:t>
            </w:r>
          </w:p>
        </w:tc>
        <w:tc>
          <w:tcPr>
            <w:tcW w:w="4320" w:type="dxa"/>
          </w:tcPr>
          <w:p w14:paraId="4EB60D78" w14:textId="7C6D915B" w:rsidR="000D5A8A" w:rsidRDefault="00BB715C">
            <w:r>
              <w:t>$2,870</w:t>
            </w:r>
          </w:p>
        </w:tc>
      </w:tr>
      <w:tr w:rsidR="000D5A8A" w14:paraId="7ED948C8" w14:textId="77777777">
        <w:tc>
          <w:tcPr>
            <w:tcW w:w="4320" w:type="dxa"/>
          </w:tcPr>
          <w:p w14:paraId="6F69D626" w14:textId="43981AEB" w:rsidR="000D5A8A" w:rsidRDefault="0004489F">
            <w:r>
              <w:t>GROUSE</w:t>
            </w:r>
            <w:r w:rsidR="001C2A0C">
              <w:t xml:space="preserve"> EHR Data Reuse</w:t>
            </w:r>
          </w:p>
        </w:tc>
        <w:tc>
          <w:tcPr>
            <w:tcW w:w="4320" w:type="dxa"/>
          </w:tcPr>
          <w:p w14:paraId="4A49734E" w14:textId="126E4BB2" w:rsidR="000D5A8A" w:rsidRDefault="00BB715C">
            <w:r>
              <w:t>$865</w:t>
            </w:r>
          </w:p>
        </w:tc>
      </w:tr>
      <w:tr w:rsidR="000D5A8A" w14:paraId="2A8AE2D9" w14:textId="77777777">
        <w:tc>
          <w:tcPr>
            <w:tcW w:w="4320" w:type="dxa"/>
          </w:tcPr>
          <w:p w14:paraId="70CA0B80" w14:textId="77777777" w:rsidR="000D5A8A" w:rsidRDefault="0004489F">
            <w:r>
              <w:t>Acxiom Linkage Support</w:t>
            </w:r>
          </w:p>
        </w:tc>
        <w:tc>
          <w:tcPr>
            <w:tcW w:w="4320" w:type="dxa"/>
          </w:tcPr>
          <w:p w14:paraId="12282E74" w14:textId="2C5A93E7" w:rsidR="000D5A8A" w:rsidRDefault="00BB715C">
            <w:r>
              <w:t>$2,500</w:t>
            </w:r>
          </w:p>
        </w:tc>
      </w:tr>
      <w:tr w:rsidR="000D5A8A" w14:paraId="5399C48B" w14:textId="77777777">
        <w:tc>
          <w:tcPr>
            <w:tcW w:w="4320" w:type="dxa"/>
          </w:tcPr>
          <w:p w14:paraId="2D2D55FB" w14:textId="034E92C2" w:rsidR="000D5A8A" w:rsidRDefault="0004489F">
            <w:r>
              <w:t>Total</w:t>
            </w:r>
          </w:p>
        </w:tc>
        <w:tc>
          <w:tcPr>
            <w:tcW w:w="4320" w:type="dxa"/>
          </w:tcPr>
          <w:p w14:paraId="3F484C09" w14:textId="6C3B78E3" w:rsidR="000D5A8A" w:rsidRDefault="00BB715C">
            <w:r>
              <w:t>$9,235</w:t>
            </w:r>
          </w:p>
        </w:tc>
      </w:tr>
    </w:tbl>
    <w:p w14:paraId="0743C200" w14:textId="136E9AA0" w:rsidR="00870265" w:rsidRDefault="0004489F" w:rsidP="00870265">
      <w:r>
        <w:br/>
        <w:t>Payment Schedule:</w:t>
      </w:r>
    </w:p>
    <w:p w14:paraId="4DE3977A" w14:textId="77777777" w:rsidR="00870265" w:rsidRDefault="0004489F" w:rsidP="00870265">
      <w:pPr>
        <w:pStyle w:val="ListParagraph"/>
        <w:numPr>
          <w:ilvl w:val="0"/>
          <w:numId w:val="19"/>
        </w:numPr>
      </w:pPr>
      <w:r>
        <w:t xml:space="preserve">$3,000 upon </w:t>
      </w:r>
      <w:r>
        <w:t>completion of administrative/startup activities</w:t>
      </w:r>
    </w:p>
    <w:p w14:paraId="05AFF96C" w14:textId="77777777" w:rsidR="00870265" w:rsidRDefault="0004489F" w:rsidP="00870265">
      <w:pPr>
        <w:pStyle w:val="ListParagraph"/>
        <w:numPr>
          <w:ilvl w:val="0"/>
          <w:numId w:val="19"/>
        </w:numPr>
      </w:pPr>
      <w:r>
        <w:t xml:space="preserve"> $2,870 upon site IRB approval or IRB reliance confirmation</w:t>
      </w:r>
    </w:p>
    <w:p w14:paraId="609F6161" w14:textId="13D110B6" w:rsidR="00870265" w:rsidRDefault="0004489F" w:rsidP="00870265">
      <w:pPr>
        <w:pStyle w:val="ListParagraph"/>
        <w:numPr>
          <w:ilvl w:val="0"/>
          <w:numId w:val="19"/>
        </w:numPr>
      </w:pPr>
      <w:r>
        <w:t xml:space="preserve"> $865 upon confirmation of </w:t>
      </w:r>
      <w:r w:rsidR="006C7087">
        <w:t>GROUSE EHR Data Reuse</w:t>
      </w:r>
      <w:r w:rsidR="006C7087">
        <w:t xml:space="preserve"> </w:t>
      </w:r>
      <w:r>
        <w:t>approval</w:t>
      </w:r>
    </w:p>
    <w:p w14:paraId="4D15E914" w14:textId="4F007BEF" w:rsidR="000D5A8A" w:rsidRDefault="0004489F" w:rsidP="00870265">
      <w:pPr>
        <w:pStyle w:val="ListParagraph"/>
        <w:numPr>
          <w:ilvl w:val="0"/>
          <w:numId w:val="19"/>
        </w:numPr>
      </w:pPr>
      <w:r>
        <w:t xml:space="preserve"> $2,500 upon completion of Acxiom linkage (or submission of equivalent data deliverable)</w:t>
      </w:r>
    </w:p>
    <w:p w14:paraId="5C9B8346" w14:textId="5D67B31C" w:rsidR="000D5A8A" w:rsidRDefault="0004489F">
      <w:r>
        <w:br/>
      </w:r>
    </w:p>
    <w:sectPr w:rsidR="000D5A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A4D87"/>
    <w:multiLevelType w:val="hybridMultilevel"/>
    <w:tmpl w:val="D934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097F51"/>
    <w:multiLevelType w:val="hybridMultilevel"/>
    <w:tmpl w:val="0FF4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41B3E"/>
    <w:multiLevelType w:val="multilevel"/>
    <w:tmpl w:val="BAC6E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76234"/>
    <w:multiLevelType w:val="hybridMultilevel"/>
    <w:tmpl w:val="110C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B302B"/>
    <w:multiLevelType w:val="hybridMultilevel"/>
    <w:tmpl w:val="51DE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62135"/>
    <w:multiLevelType w:val="multilevel"/>
    <w:tmpl w:val="4154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67DB7"/>
    <w:multiLevelType w:val="hybridMultilevel"/>
    <w:tmpl w:val="723C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F2098"/>
    <w:multiLevelType w:val="hybridMultilevel"/>
    <w:tmpl w:val="1C2C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4359AE"/>
    <w:multiLevelType w:val="hybridMultilevel"/>
    <w:tmpl w:val="53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E3371"/>
    <w:multiLevelType w:val="multilevel"/>
    <w:tmpl w:val="4D9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797663">
    <w:abstractNumId w:val="8"/>
  </w:num>
  <w:num w:numId="2" w16cid:durableId="455026418">
    <w:abstractNumId w:val="6"/>
  </w:num>
  <w:num w:numId="3" w16cid:durableId="197014467">
    <w:abstractNumId w:val="5"/>
  </w:num>
  <w:num w:numId="4" w16cid:durableId="1725593544">
    <w:abstractNumId w:val="4"/>
  </w:num>
  <w:num w:numId="5" w16cid:durableId="136000666">
    <w:abstractNumId w:val="7"/>
  </w:num>
  <w:num w:numId="6" w16cid:durableId="1341660996">
    <w:abstractNumId w:val="3"/>
  </w:num>
  <w:num w:numId="7" w16cid:durableId="1230459618">
    <w:abstractNumId w:val="2"/>
  </w:num>
  <w:num w:numId="8" w16cid:durableId="359941803">
    <w:abstractNumId w:val="1"/>
  </w:num>
  <w:num w:numId="9" w16cid:durableId="678508847">
    <w:abstractNumId w:val="0"/>
  </w:num>
  <w:num w:numId="10" w16cid:durableId="563300507">
    <w:abstractNumId w:val="13"/>
  </w:num>
  <w:num w:numId="11" w16cid:durableId="1970940171">
    <w:abstractNumId w:val="15"/>
  </w:num>
  <w:num w:numId="12" w16cid:durableId="1594823610">
    <w:abstractNumId w:val="17"/>
  </w:num>
  <w:num w:numId="13" w16cid:durableId="832062188">
    <w:abstractNumId w:val="12"/>
  </w:num>
  <w:num w:numId="14" w16cid:durableId="112486854">
    <w:abstractNumId w:val="18"/>
  </w:num>
  <w:num w:numId="15" w16cid:durableId="450242986">
    <w:abstractNumId w:val="14"/>
  </w:num>
  <w:num w:numId="16" w16cid:durableId="1293441084">
    <w:abstractNumId w:val="11"/>
  </w:num>
  <w:num w:numId="17" w16cid:durableId="2025940555">
    <w:abstractNumId w:val="16"/>
  </w:num>
  <w:num w:numId="18" w16cid:durableId="421296192">
    <w:abstractNumId w:val="10"/>
  </w:num>
  <w:num w:numId="19" w16cid:durableId="120072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8CD"/>
    <w:rsid w:val="00034616"/>
    <w:rsid w:val="0004489F"/>
    <w:rsid w:val="0006063C"/>
    <w:rsid w:val="000D2153"/>
    <w:rsid w:val="000D3B73"/>
    <w:rsid w:val="000D5A8A"/>
    <w:rsid w:val="000D6D9B"/>
    <w:rsid w:val="0015074B"/>
    <w:rsid w:val="00166940"/>
    <w:rsid w:val="001A51D0"/>
    <w:rsid w:val="001B1D36"/>
    <w:rsid w:val="001C2A0C"/>
    <w:rsid w:val="00254280"/>
    <w:rsid w:val="0029639D"/>
    <w:rsid w:val="00326F90"/>
    <w:rsid w:val="003D5DF3"/>
    <w:rsid w:val="006B3E2F"/>
    <w:rsid w:val="006C7087"/>
    <w:rsid w:val="006D3EBE"/>
    <w:rsid w:val="007B4774"/>
    <w:rsid w:val="007E71EC"/>
    <w:rsid w:val="007E78DB"/>
    <w:rsid w:val="0084607A"/>
    <w:rsid w:val="00866705"/>
    <w:rsid w:val="00870265"/>
    <w:rsid w:val="0087413C"/>
    <w:rsid w:val="008F25C6"/>
    <w:rsid w:val="009143AC"/>
    <w:rsid w:val="009A6FE1"/>
    <w:rsid w:val="009F3163"/>
    <w:rsid w:val="00A77FC5"/>
    <w:rsid w:val="00AA1D8D"/>
    <w:rsid w:val="00B47730"/>
    <w:rsid w:val="00B61363"/>
    <w:rsid w:val="00B85F8C"/>
    <w:rsid w:val="00BB715C"/>
    <w:rsid w:val="00CB0664"/>
    <w:rsid w:val="00E36973"/>
    <w:rsid w:val="00F47F1A"/>
    <w:rsid w:val="00F94D9A"/>
    <w:rsid w:val="00FC693F"/>
    <w:rsid w:val="00FD5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E681F"/>
  <w14:defaultImageDpi w14:val="300"/>
  <w15:docId w15:val="{ADFBAE99-67BF-7D4C-9727-903E1F0B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870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70265"/>
  </w:style>
  <w:style w:type="character" w:customStyle="1" w:styleId="scxw36193081">
    <w:name w:val="scxw36193081"/>
    <w:basedOn w:val="DefaultParagraphFont"/>
    <w:rsid w:val="00870265"/>
  </w:style>
  <w:style w:type="character" w:customStyle="1" w:styleId="eop">
    <w:name w:val="eop"/>
    <w:basedOn w:val="DefaultParagraphFont"/>
    <w:rsid w:val="00870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70e68cd6-7252-44ce-bf81-24cb873d0ea8" xsi:nil="true"/>
    <lcf76f155ced4ddcb4097134ff3c332f xmlns="9bd33661-7264-4633-9226-fba6aeef08ea">
      <Terms xmlns="http://schemas.microsoft.com/office/infopath/2007/PartnerControls"/>
    </lcf76f155ced4ddcb4097134ff3c332f>
    <_ip_UnifiedCompliancePolicyProperties xmlns="http://schemas.microsoft.com/sharepoint/v3" xsi:nil="true"/>
    <Comment xmlns="9bd33661-7264-4633-9226-fba6aeef08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6C90EDBA55B24994D27E40D9B366FA" ma:contentTypeVersion="22" ma:contentTypeDescription="Create a new document." ma:contentTypeScope="" ma:versionID="0abdc5e5dcc78fc5633c117b6ca51f6f">
  <xsd:schema xmlns:xsd="http://www.w3.org/2001/XMLSchema" xmlns:xs="http://www.w3.org/2001/XMLSchema" xmlns:p="http://schemas.microsoft.com/office/2006/metadata/properties" xmlns:ns1="http://schemas.microsoft.com/sharepoint/v3" xmlns:ns2="70e68cd6-7252-44ce-bf81-24cb873d0ea8" xmlns:ns3="9bd33661-7264-4633-9226-fba6aeef08ea" targetNamespace="http://schemas.microsoft.com/office/2006/metadata/properties" ma:root="true" ma:fieldsID="e1a8588803c1425044082fb2e72aebb3" ns1:_="" ns2:_="" ns3:_="">
    <xsd:import namespace="http://schemas.microsoft.com/sharepoint/v3"/>
    <xsd:import namespace="70e68cd6-7252-44ce-bf81-24cb873d0ea8"/>
    <xsd:import namespace="9bd33661-7264-4633-9226-fba6aeef08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Comment"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68cd6-7252-44ce-bf81-24cb873d0e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66685e-b8e2-41a1-9b4c-2fd07ae098fb}" ma:internalName="TaxCatchAll" ma:showField="CatchAllData" ma:web="70e68cd6-7252-44ce-bf81-24cb873d0e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33661-7264-4633-9226-fba6aeef08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20e570-3a27-4eff-9ea0-d3488a33fbf1" ma:termSetId="09814cd3-568e-fe90-9814-8d621ff8fb84" ma:anchorId="fba54fb3-c3e1-fe81-a776-ca4b69148c4d" ma:open="true" ma:isKeyword="false">
      <xsd:complexType>
        <xsd:sequence>
          <xsd:element ref="pc:Terms" minOccurs="0" maxOccurs="1"/>
        </xsd:sequence>
      </xsd:complexType>
    </xsd:element>
    <xsd:element name="Comment" ma:index="26" nillable="true" ma:displayName="Comment" ma:internalName="Comment">
      <xsd:simpleType>
        <xsd:restriction base="dms:Text">
          <xsd:maxLength value="255"/>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21C0784-20DF-4F23-8907-A8DDD7708720}">
  <ds:schemaRefs>
    <ds:schemaRef ds:uri="http://schemas.microsoft.com/office/2006/metadata/properties"/>
    <ds:schemaRef ds:uri="http://schemas.microsoft.com/office/infopath/2007/PartnerControls"/>
    <ds:schemaRef ds:uri="http://schemas.microsoft.com/sharepoint/v3"/>
    <ds:schemaRef ds:uri="70e68cd6-7252-44ce-bf81-24cb873d0ea8"/>
    <ds:schemaRef ds:uri="9bd33661-7264-4633-9226-fba6aeef08ea"/>
  </ds:schemaRefs>
</ds:datastoreItem>
</file>

<file path=customXml/itemProps3.xml><?xml version="1.0" encoding="utf-8"?>
<ds:datastoreItem xmlns:ds="http://schemas.openxmlformats.org/officeDocument/2006/customXml" ds:itemID="{A0774FF7-2528-4F04-B9E0-4B66424725D4}">
  <ds:schemaRefs>
    <ds:schemaRef ds:uri="http://schemas.microsoft.com/sharepoint/v3/contenttype/forms"/>
  </ds:schemaRefs>
</ds:datastoreItem>
</file>

<file path=customXml/itemProps4.xml><?xml version="1.0" encoding="utf-8"?>
<ds:datastoreItem xmlns:ds="http://schemas.openxmlformats.org/officeDocument/2006/customXml" ds:itemID="{C44F5A2B-10A9-4D87-A203-911069443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e68cd6-7252-44ce-bf81-24cb873d0ea8"/>
    <ds:schemaRef ds:uri="9bd33661-7264-4633-9226-fba6aeef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Song, Xing</cp:lastModifiedBy>
  <cp:revision>34</cp:revision>
  <dcterms:created xsi:type="dcterms:W3CDTF">2013-12-23T23:15:00Z</dcterms:created>
  <dcterms:modified xsi:type="dcterms:W3CDTF">2025-06-24T15:17:00Z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0x010100066C90EDBA55B24994D27E40D9B366FA</vt:lpwstr>
  </property>
  <property fmtid="{D5CDD505-2E9C-101B-9397-08002B2CF9AE}" pid="3" name="MediaServiceImageTags">
    <vt:lpwstr/>
  </property>
</Properties>
</file>