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445" w:rsidRDefault="002D5B69">
      <w:pPr>
        <w:pStyle w:val="Title"/>
      </w:pPr>
      <w:bookmarkStart w:id="0" w:name="_GoBack"/>
      <w:bookmarkEnd w:id="0"/>
      <w:r>
        <w:t>Collaborative Computer Science Education (CCSE)</w:t>
      </w:r>
    </w:p>
    <w:p w:rsidR="00CA1DFF" w:rsidRDefault="00CA1DFF" w:rsidP="00CA70EC">
      <w:pPr>
        <w:pStyle w:val="Subtitle"/>
        <w:jc w:val="center"/>
      </w:pPr>
    </w:p>
    <w:p w:rsidR="00CA70EC" w:rsidRPr="00CA1DFF" w:rsidRDefault="00CA70EC" w:rsidP="00CA70EC">
      <w:pPr>
        <w:pStyle w:val="Subtitle"/>
        <w:jc w:val="center"/>
        <w:rPr>
          <w:sz w:val="72"/>
          <w:szCs w:val="72"/>
        </w:rPr>
      </w:pPr>
      <w:r w:rsidRPr="00CA1DFF">
        <w:rPr>
          <w:sz w:val="72"/>
          <w:szCs w:val="72"/>
        </w:rPr>
        <w:t>Final Report</w:t>
      </w:r>
    </w:p>
    <w:p w:rsidR="00042445" w:rsidRDefault="005068ED">
      <w:pPr>
        <w:pStyle w:val="Heading1"/>
      </w:pPr>
      <w:r>
        <w:t>Abstract</w:t>
      </w:r>
    </w:p>
    <w:p w:rsidR="00042445" w:rsidRPr="0051032F" w:rsidRDefault="008A15F8" w:rsidP="00BE1A6F">
      <w:pPr>
        <w:pStyle w:val="NoSpacing"/>
      </w:pPr>
      <w:r w:rsidRPr="0051032F">
        <w:t xml:space="preserve">The Collaborative Computer Science Education (CCSE) project creates lesson incubators, which are close-knit groups of computer science teachers and an online system which helps them build outstanding lesson materials.  Computer science course materials change rapidly, with new programming languages, software upgrades and professional best practices changing almost as fast as curricula can be developed. Computer science teachers must work together to keep their materials up-to-date. CCSE builds computer science education materials, not only for students in the classroom, but also materials for teachers to continuously improve their domain-specific skills in both technology and pedagogy. </w:t>
      </w:r>
      <w:r w:rsidR="00D66641" w:rsidRPr="0051032F">
        <w:t xml:space="preserve"> </w:t>
      </w:r>
      <w:r w:rsidR="00BE1A6F">
        <w:t xml:space="preserve">Audience: CS teachers and students. Goals: highly rated lesson materials, as perceived by teachers and students, and a system for continuous improvement. Outcomes: higher performance scores by students, more time for one-on-one instruction by teachers. </w:t>
      </w:r>
    </w:p>
    <w:p w:rsidR="008C2F30" w:rsidRDefault="008C2F30" w:rsidP="008C2F30">
      <w:pPr>
        <w:pStyle w:val="Heading1"/>
      </w:pPr>
      <w:r>
        <w:t>Project Title</w:t>
      </w:r>
    </w:p>
    <w:p w:rsidR="008C2F30" w:rsidRDefault="008C2F30" w:rsidP="008C2F30">
      <w:r>
        <w:t>Collaborative Computer Science Education (CCSE)</w:t>
      </w:r>
    </w:p>
    <w:p w:rsidR="008C2F30" w:rsidRDefault="008C2F30" w:rsidP="008C2F30">
      <w:pPr>
        <w:pStyle w:val="Heading1"/>
      </w:pPr>
      <w:r>
        <w:t>Name of Researcher</w:t>
      </w:r>
    </w:p>
    <w:p w:rsidR="008C2F30" w:rsidRDefault="008C2F30" w:rsidP="008C2F30">
      <w:r>
        <w:t>George Corser, PhD</w:t>
      </w:r>
    </w:p>
    <w:p w:rsidR="008C2F30" w:rsidRDefault="008C2F30" w:rsidP="008C2F30">
      <w:pPr>
        <w:pStyle w:val="Heading1"/>
      </w:pPr>
      <w:r>
        <w:t>Discipline of Study</w:t>
      </w:r>
    </w:p>
    <w:p w:rsidR="008C2F30" w:rsidRDefault="008C2F30" w:rsidP="008C2F30">
      <w:r>
        <w:t>Computer Science</w:t>
      </w:r>
    </w:p>
    <w:p w:rsidR="008C2F30" w:rsidRDefault="008C2F30" w:rsidP="008C2F30">
      <w:pPr>
        <w:pStyle w:val="Heading1"/>
      </w:pPr>
      <w:r>
        <w:t>Goals Achieved</w:t>
      </w:r>
    </w:p>
    <w:p w:rsidR="008C2F30" w:rsidRDefault="008C2F30" w:rsidP="008C2F30">
      <w:pPr>
        <w:pStyle w:val="ListParagraph"/>
        <w:numPr>
          <w:ilvl w:val="0"/>
          <w:numId w:val="4"/>
        </w:numPr>
      </w:pPr>
      <w:r>
        <w:t>Produced 40+ videos, step-by-step classroom materials or quizzes conforming to project standards</w:t>
      </w:r>
    </w:p>
    <w:p w:rsidR="008C2F30" w:rsidRDefault="008C2F30" w:rsidP="008C2F30">
      <w:pPr>
        <w:pStyle w:val="ListParagraph"/>
        <w:numPr>
          <w:ilvl w:val="0"/>
          <w:numId w:val="4"/>
        </w:numPr>
      </w:pPr>
      <w:r>
        <w:t>Accessed four communities (20+ contributors): client-side web development (CSI 255), server-side web development (CIS 355), mobile app development (CS 403, theory of computation (CS 461)</w:t>
      </w:r>
    </w:p>
    <w:p w:rsidR="008C2F30" w:rsidRDefault="008C2F30" w:rsidP="008C2F30">
      <w:pPr>
        <w:pStyle w:val="ListParagraph"/>
        <w:numPr>
          <w:ilvl w:val="0"/>
          <w:numId w:val="4"/>
        </w:numPr>
      </w:pPr>
      <w:r>
        <w:t>Produced website to organize the materials: www.teacherati.com</w:t>
      </w:r>
    </w:p>
    <w:p w:rsidR="008C2F30" w:rsidRDefault="008C2F30" w:rsidP="008C2F30">
      <w:pPr>
        <w:pStyle w:val="ListParagraph"/>
        <w:numPr>
          <w:ilvl w:val="0"/>
          <w:numId w:val="4"/>
        </w:numPr>
      </w:pPr>
      <w:r>
        <w:t>List of lessons learned and next steps: www.teacherati.com (click: Next Steps)</w:t>
      </w:r>
    </w:p>
    <w:p w:rsidR="008C2F30" w:rsidRDefault="008C2F30" w:rsidP="008C2F30">
      <w:pPr>
        <w:pStyle w:val="Heading1"/>
      </w:pPr>
      <w:r>
        <w:t>Pedagogical Innovative Methods Used:</w:t>
      </w:r>
    </w:p>
    <w:p w:rsidR="008C2F30" w:rsidRDefault="008C2F30" w:rsidP="008C2F30">
      <w:r>
        <w:t>Adapted "Learning by teaching" (</w:t>
      </w:r>
      <w:proofErr w:type="spellStart"/>
      <w:r>
        <w:t>Frager</w:t>
      </w:r>
      <w:proofErr w:type="spellEnd"/>
      <w:r>
        <w:t xml:space="preserve">, 1970) to present day high tech </w:t>
      </w:r>
      <w:proofErr w:type="spellStart"/>
      <w:r>
        <w:t>environgment</w:t>
      </w:r>
      <w:proofErr w:type="spellEnd"/>
      <w:r>
        <w:t>. Specifically, utilized professional and/or highly motivated students to prepare and deliver course materials. See also: "Learning through teaching" (</w:t>
      </w:r>
      <w:proofErr w:type="spellStart"/>
      <w:r>
        <w:t>Cortese</w:t>
      </w:r>
      <w:proofErr w:type="spellEnd"/>
      <w:r>
        <w:t>, 2005).</w:t>
      </w:r>
    </w:p>
    <w:p w:rsidR="008C2F30" w:rsidRDefault="008C2F30" w:rsidP="008C2F30">
      <w:pPr>
        <w:pStyle w:val="Heading1"/>
      </w:pPr>
      <w:r>
        <w:lastRenderedPageBreak/>
        <w:t>Outcomes</w:t>
      </w:r>
    </w:p>
    <w:p w:rsidR="008C2F30" w:rsidRDefault="00CA70EC" w:rsidP="008C2F30">
      <w:r>
        <w:t>The primary outcomes were a website and a set of lessons</w:t>
      </w:r>
    </w:p>
    <w:p w:rsidR="00CA70EC" w:rsidRDefault="00CA70EC" w:rsidP="00CA70EC">
      <w:pPr>
        <w:pStyle w:val="Heading2"/>
      </w:pPr>
      <w:r>
        <w:t>Table of Attributes (</w:t>
      </w:r>
      <w:proofErr w:type="spellStart"/>
      <w:r>
        <w:t>Teacherati</w:t>
      </w:r>
      <w:proofErr w:type="spellEnd"/>
      <w:r>
        <w:t xml:space="preserve"> vs. Regular/Online Classrooms and YouTube)</w:t>
      </w:r>
    </w:p>
    <w:tbl>
      <w:tblPr>
        <w:tblStyle w:val="GridTable1Light-Accent11"/>
        <w:tblW w:w="0" w:type="auto"/>
        <w:tblLook w:val="04A0" w:firstRow="1" w:lastRow="0" w:firstColumn="1" w:lastColumn="0" w:noHBand="0" w:noVBand="1"/>
      </w:tblPr>
      <w:tblGrid>
        <w:gridCol w:w="4449"/>
        <w:gridCol w:w="1220"/>
        <w:gridCol w:w="1219"/>
        <w:gridCol w:w="1227"/>
        <w:gridCol w:w="1235"/>
      </w:tblGrid>
      <w:tr w:rsidR="00CA70EC" w:rsidTr="009132F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08" w:type="dxa"/>
          </w:tcPr>
          <w:p w:rsidR="00CA70EC" w:rsidRDefault="00CA70EC" w:rsidP="009132F1">
            <w:r>
              <w:t>Attribute</w:t>
            </w:r>
          </w:p>
        </w:tc>
        <w:tc>
          <w:tcPr>
            <w:tcW w:w="1242" w:type="dxa"/>
          </w:tcPr>
          <w:p w:rsidR="00CA70EC" w:rsidRDefault="00CA70EC" w:rsidP="009132F1">
            <w:pPr>
              <w:jc w:val="center"/>
              <w:cnfStyle w:val="100000000000" w:firstRow="1" w:lastRow="0" w:firstColumn="0" w:lastColumn="0" w:oddVBand="0" w:evenVBand="0" w:oddHBand="0" w:evenHBand="0" w:firstRowFirstColumn="0" w:firstRowLastColumn="0" w:lastRowFirstColumn="0" w:lastRowLastColumn="0"/>
            </w:pPr>
            <w:r>
              <w:t>In-person Class</w:t>
            </w:r>
          </w:p>
        </w:tc>
        <w:tc>
          <w:tcPr>
            <w:tcW w:w="1242" w:type="dxa"/>
          </w:tcPr>
          <w:p w:rsidR="00CA70EC" w:rsidRDefault="00CA70EC" w:rsidP="009132F1">
            <w:pPr>
              <w:jc w:val="center"/>
              <w:cnfStyle w:val="100000000000" w:firstRow="1" w:lastRow="0" w:firstColumn="0" w:lastColumn="0" w:oddVBand="0" w:evenVBand="0" w:oddHBand="0" w:evenHBand="0" w:firstRowFirstColumn="0" w:firstRowLastColumn="0" w:lastRowFirstColumn="0" w:lastRowLastColumn="0"/>
            </w:pPr>
            <w:r>
              <w:t>Online Class</w:t>
            </w:r>
          </w:p>
        </w:tc>
        <w:tc>
          <w:tcPr>
            <w:tcW w:w="1242" w:type="dxa"/>
          </w:tcPr>
          <w:p w:rsidR="00CA70EC" w:rsidRDefault="00CA70EC" w:rsidP="009132F1">
            <w:pPr>
              <w:jc w:val="center"/>
              <w:cnfStyle w:val="100000000000" w:firstRow="1" w:lastRow="0" w:firstColumn="0" w:lastColumn="0" w:oddVBand="0" w:evenVBand="0" w:oddHBand="0" w:evenHBand="0" w:firstRowFirstColumn="0" w:firstRowLastColumn="0" w:lastRowFirstColumn="0" w:lastRowLastColumn="0"/>
            </w:pPr>
            <w:r>
              <w:t>YouTube + In-person</w:t>
            </w:r>
          </w:p>
        </w:tc>
        <w:tc>
          <w:tcPr>
            <w:tcW w:w="1242" w:type="dxa"/>
          </w:tcPr>
          <w:p w:rsidR="00CA70EC" w:rsidRDefault="00CA70EC" w:rsidP="009132F1">
            <w:pPr>
              <w:jc w:val="center"/>
              <w:cnfStyle w:val="100000000000" w:firstRow="1" w:lastRow="0" w:firstColumn="0" w:lastColumn="0" w:oddVBand="0" w:evenVBand="0" w:oddHBand="0" w:evenHBand="0" w:firstRowFirstColumn="0" w:firstRowLastColumn="0" w:lastRowFirstColumn="0" w:lastRowLastColumn="0"/>
            </w:pPr>
            <w:proofErr w:type="spellStart"/>
            <w:r>
              <w:t>Teacherati</w:t>
            </w:r>
            <w:proofErr w:type="spellEnd"/>
            <w:r>
              <w:t xml:space="preserve"> + In-person</w:t>
            </w:r>
          </w:p>
        </w:tc>
      </w:tr>
      <w:tr w:rsidR="00CA70EC" w:rsidTr="009132F1">
        <w:trPr>
          <w:cantSplit/>
        </w:trPr>
        <w:tc>
          <w:tcPr>
            <w:cnfStyle w:val="001000000000" w:firstRow="0" w:lastRow="0" w:firstColumn="1" w:lastColumn="0" w:oddVBand="0" w:evenVBand="0" w:oddHBand="0" w:evenHBand="0" w:firstRowFirstColumn="0" w:firstRowLastColumn="0" w:lastRowFirstColumn="0" w:lastRowLastColumn="0"/>
            <w:tcW w:w="4608" w:type="dxa"/>
          </w:tcPr>
          <w:p w:rsidR="00CA70EC" w:rsidRDefault="00CA70EC" w:rsidP="009132F1">
            <w:r>
              <w:t>Students Can Contribute Course Materials</w:t>
            </w:r>
          </w:p>
        </w:tc>
        <w:tc>
          <w:tcPr>
            <w:tcW w:w="1242" w:type="dxa"/>
          </w:tcPr>
          <w:p w:rsidR="00CA70EC" w:rsidRDefault="00CA70EC" w:rsidP="009132F1">
            <w:pPr>
              <w:jc w:val="center"/>
              <w:cnfStyle w:val="000000000000" w:firstRow="0" w:lastRow="0" w:firstColumn="0" w:lastColumn="0" w:oddVBand="0" w:evenVBand="0" w:oddHBand="0" w:evenHBand="0" w:firstRowFirstColumn="0" w:firstRowLastColumn="0" w:lastRowFirstColumn="0" w:lastRowLastColumn="0"/>
            </w:pPr>
          </w:p>
        </w:tc>
        <w:tc>
          <w:tcPr>
            <w:tcW w:w="1242" w:type="dxa"/>
          </w:tcPr>
          <w:p w:rsidR="00CA70EC" w:rsidRDefault="00CA70EC" w:rsidP="009132F1">
            <w:pPr>
              <w:jc w:val="center"/>
              <w:cnfStyle w:val="000000000000" w:firstRow="0" w:lastRow="0" w:firstColumn="0" w:lastColumn="0" w:oddVBand="0" w:evenVBand="0" w:oddHBand="0" w:evenHBand="0" w:firstRowFirstColumn="0" w:firstRowLastColumn="0" w:lastRowFirstColumn="0" w:lastRowLastColumn="0"/>
            </w:pPr>
          </w:p>
        </w:tc>
        <w:tc>
          <w:tcPr>
            <w:tcW w:w="1242" w:type="dxa"/>
          </w:tcPr>
          <w:p w:rsidR="00CA70EC" w:rsidRPr="0008500E" w:rsidRDefault="00CA70EC" w:rsidP="009132F1">
            <w:pPr>
              <w:jc w:val="center"/>
              <w:cnfStyle w:val="000000000000" w:firstRow="0" w:lastRow="0" w:firstColumn="0" w:lastColumn="0" w:oddVBand="0" w:evenVBand="0" w:oddHBand="0" w:evenHBand="0" w:firstRowFirstColumn="0" w:firstRowLastColumn="0" w:lastRowFirstColumn="0" w:lastRowLastColumn="0"/>
              <w:rPr>
                <w:b/>
              </w:rPr>
            </w:pPr>
            <w:r w:rsidRPr="0008500E">
              <w:rPr>
                <w:rFonts w:ascii="Arial Unicode MS" w:eastAsia="Arial Unicode MS" w:hAnsi="Arial Unicode MS" w:cs="Arial Unicode MS" w:hint="eastAsia"/>
                <w:b/>
              </w:rPr>
              <w:t>√</w:t>
            </w:r>
          </w:p>
        </w:tc>
        <w:tc>
          <w:tcPr>
            <w:tcW w:w="1242" w:type="dxa"/>
          </w:tcPr>
          <w:p w:rsidR="00CA70EC" w:rsidRDefault="00CA70EC" w:rsidP="009132F1">
            <w:pPr>
              <w:jc w:val="center"/>
              <w:cnfStyle w:val="000000000000" w:firstRow="0" w:lastRow="0" w:firstColumn="0" w:lastColumn="0" w:oddVBand="0" w:evenVBand="0" w:oddHBand="0" w:evenHBand="0" w:firstRowFirstColumn="0" w:firstRowLastColumn="0" w:lastRowFirstColumn="0" w:lastRowLastColumn="0"/>
            </w:pPr>
            <w:r w:rsidRPr="0008500E">
              <w:rPr>
                <w:rFonts w:ascii="Arial Unicode MS" w:eastAsia="Arial Unicode MS" w:hAnsi="Arial Unicode MS" w:cs="Arial Unicode MS" w:hint="eastAsia"/>
                <w:b/>
              </w:rPr>
              <w:t>√</w:t>
            </w:r>
          </w:p>
        </w:tc>
      </w:tr>
      <w:tr w:rsidR="00CA70EC" w:rsidTr="009132F1">
        <w:trPr>
          <w:cantSplit/>
        </w:trPr>
        <w:tc>
          <w:tcPr>
            <w:cnfStyle w:val="001000000000" w:firstRow="0" w:lastRow="0" w:firstColumn="1" w:lastColumn="0" w:oddVBand="0" w:evenVBand="0" w:oddHBand="0" w:evenHBand="0" w:firstRowFirstColumn="0" w:firstRowLastColumn="0" w:lastRowFirstColumn="0" w:lastRowLastColumn="0"/>
            <w:tcW w:w="4608" w:type="dxa"/>
          </w:tcPr>
          <w:p w:rsidR="00CA70EC" w:rsidRDefault="00CA70EC" w:rsidP="009132F1">
            <w:r>
              <w:t xml:space="preserve">Standard Measure of Learning Results </w:t>
            </w:r>
          </w:p>
        </w:tc>
        <w:tc>
          <w:tcPr>
            <w:tcW w:w="1242" w:type="dxa"/>
          </w:tcPr>
          <w:p w:rsidR="00CA70EC" w:rsidRDefault="00CA70EC" w:rsidP="009132F1">
            <w:pPr>
              <w:jc w:val="center"/>
              <w:cnfStyle w:val="000000000000" w:firstRow="0" w:lastRow="0" w:firstColumn="0" w:lastColumn="0" w:oddVBand="0" w:evenVBand="0" w:oddHBand="0" w:evenHBand="0" w:firstRowFirstColumn="0" w:firstRowLastColumn="0" w:lastRowFirstColumn="0" w:lastRowLastColumn="0"/>
            </w:pPr>
          </w:p>
        </w:tc>
        <w:tc>
          <w:tcPr>
            <w:tcW w:w="1242" w:type="dxa"/>
          </w:tcPr>
          <w:p w:rsidR="00CA70EC" w:rsidRDefault="00CA70EC" w:rsidP="009132F1">
            <w:pPr>
              <w:jc w:val="center"/>
              <w:cnfStyle w:val="000000000000" w:firstRow="0" w:lastRow="0" w:firstColumn="0" w:lastColumn="0" w:oddVBand="0" w:evenVBand="0" w:oddHBand="0" w:evenHBand="0" w:firstRowFirstColumn="0" w:firstRowLastColumn="0" w:lastRowFirstColumn="0" w:lastRowLastColumn="0"/>
            </w:pPr>
          </w:p>
        </w:tc>
        <w:tc>
          <w:tcPr>
            <w:tcW w:w="1242" w:type="dxa"/>
          </w:tcPr>
          <w:p w:rsidR="00CA70EC" w:rsidRDefault="00CA70EC" w:rsidP="009132F1">
            <w:pPr>
              <w:jc w:val="center"/>
              <w:cnfStyle w:val="000000000000" w:firstRow="0" w:lastRow="0" w:firstColumn="0" w:lastColumn="0" w:oddVBand="0" w:evenVBand="0" w:oddHBand="0" w:evenHBand="0" w:firstRowFirstColumn="0" w:firstRowLastColumn="0" w:lastRowFirstColumn="0" w:lastRowLastColumn="0"/>
            </w:pPr>
          </w:p>
        </w:tc>
        <w:tc>
          <w:tcPr>
            <w:tcW w:w="1242" w:type="dxa"/>
          </w:tcPr>
          <w:p w:rsidR="00CA70EC" w:rsidRDefault="00CA70EC" w:rsidP="009132F1">
            <w:pPr>
              <w:jc w:val="center"/>
              <w:cnfStyle w:val="000000000000" w:firstRow="0" w:lastRow="0" w:firstColumn="0" w:lastColumn="0" w:oddVBand="0" w:evenVBand="0" w:oddHBand="0" w:evenHBand="0" w:firstRowFirstColumn="0" w:firstRowLastColumn="0" w:lastRowFirstColumn="0" w:lastRowLastColumn="0"/>
            </w:pPr>
            <w:r w:rsidRPr="0008500E">
              <w:rPr>
                <w:rFonts w:ascii="Arial Unicode MS" w:eastAsia="Arial Unicode MS" w:hAnsi="Arial Unicode MS" w:cs="Arial Unicode MS" w:hint="eastAsia"/>
                <w:b/>
              </w:rPr>
              <w:t>√</w:t>
            </w:r>
          </w:p>
        </w:tc>
      </w:tr>
      <w:tr w:rsidR="00CA70EC" w:rsidTr="009132F1">
        <w:trPr>
          <w:cantSplit/>
        </w:trPr>
        <w:tc>
          <w:tcPr>
            <w:cnfStyle w:val="001000000000" w:firstRow="0" w:lastRow="0" w:firstColumn="1" w:lastColumn="0" w:oddVBand="0" w:evenVBand="0" w:oddHBand="0" w:evenHBand="0" w:firstRowFirstColumn="0" w:firstRowLastColumn="0" w:lastRowFirstColumn="0" w:lastRowLastColumn="0"/>
            <w:tcW w:w="4608" w:type="dxa"/>
          </w:tcPr>
          <w:p w:rsidR="00CA70EC" w:rsidRDefault="00CA70EC" w:rsidP="009132F1">
            <w:r>
              <w:t>Standard Form of Lessons</w:t>
            </w:r>
          </w:p>
        </w:tc>
        <w:tc>
          <w:tcPr>
            <w:tcW w:w="1242" w:type="dxa"/>
          </w:tcPr>
          <w:p w:rsidR="00CA70EC" w:rsidRDefault="00CA70EC" w:rsidP="009132F1">
            <w:pPr>
              <w:jc w:val="center"/>
              <w:cnfStyle w:val="000000000000" w:firstRow="0" w:lastRow="0" w:firstColumn="0" w:lastColumn="0" w:oddVBand="0" w:evenVBand="0" w:oddHBand="0" w:evenHBand="0" w:firstRowFirstColumn="0" w:firstRowLastColumn="0" w:lastRowFirstColumn="0" w:lastRowLastColumn="0"/>
            </w:pPr>
          </w:p>
        </w:tc>
        <w:tc>
          <w:tcPr>
            <w:tcW w:w="1242" w:type="dxa"/>
          </w:tcPr>
          <w:p w:rsidR="00CA70EC" w:rsidRDefault="00CA70EC" w:rsidP="009132F1">
            <w:pPr>
              <w:jc w:val="center"/>
              <w:cnfStyle w:val="000000000000" w:firstRow="0" w:lastRow="0" w:firstColumn="0" w:lastColumn="0" w:oddVBand="0" w:evenVBand="0" w:oddHBand="0" w:evenHBand="0" w:firstRowFirstColumn="0" w:firstRowLastColumn="0" w:lastRowFirstColumn="0" w:lastRowLastColumn="0"/>
            </w:pPr>
          </w:p>
        </w:tc>
        <w:tc>
          <w:tcPr>
            <w:tcW w:w="1242" w:type="dxa"/>
          </w:tcPr>
          <w:p w:rsidR="00CA70EC" w:rsidRDefault="00CA70EC" w:rsidP="009132F1">
            <w:pPr>
              <w:jc w:val="center"/>
              <w:cnfStyle w:val="000000000000" w:firstRow="0" w:lastRow="0" w:firstColumn="0" w:lastColumn="0" w:oddVBand="0" w:evenVBand="0" w:oddHBand="0" w:evenHBand="0" w:firstRowFirstColumn="0" w:firstRowLastColumn="0" w:lastRowFirstColumn="0" w:lastRowLastColumn="0"/>
            </w:pPr>
          </w:p>
        </w:tc>
        <w:tc>
          <w:tcPr>
            <w:tcW w:w="1242" w:type="dxa"/>
          </w:tcPr>
          <w:p w:rsidR="00CA70EC" w:rsidRPr="0008500E" w:rsidRDefault="00CA70EC" w:rsidP="009132F1">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rPr>
            </w:pPr>
          </w:p>
        </w:tc>
      </w:tr>
      <w:tr w:rsidR="00CA70EC" w:rsidTr="009132F1">
        <w:trPr>
          <w:cantSplit/>
        </w:trPr>
        <w:tc>
          <w:tcPr>
            <w:cnfStyle w:val="001000000000" w:firstRow="0" w:lastRow="0" w:firstColumn="1" w:lastColumn="0" w:oddVBand="0" w:evenVBand="0" w:oddHBand="0" w:evenHBand="0" w:firstRowFirstColumn="0" w:firstRowLastColumn="0" w:lastRowFirstColumn="0" w:lastRowLastColumn="0"/>
            <w:tcW w:w="4608" w:type="dxa"/>
          </w:tcPr>
          <w:p w:rsidR="00CA70EC" w:rsidRDefault="00CA70EC" w:rsidP="009132F1">
            <w:r>
              <w:t>Does NOT Require Teacher with Expertise in Computer Science to Deliver the Lesson</w:t>
            </w:r>
          </w:p>
        </w:tc>
        <w:tc>
          <w:tcPr>
            <w:tcW w:w="1242" w:type="dxa"/>
          </w:tcPr>
          <w:p w:rsidR="00CA70EC" w:rsidRDefault="00CA70EC" w:rsidP="009132F1">
            <w:pPr>
              <w:jc w:val="center"/>
              <w:cnfStyle w:val="000000000000" w:firstRow="0" w:lastRow="0" w:firstColumn="0" w:lastColumn="0" w:oddVBand="0" w:evenVBand="0" w:oddHBand="0" w:evenHBand="0" w:firstRowFirstColumn="0" w:firstRowLastColumn="0" w:lastRowFirstColumn="0" w:lastRowLastColumn="0"/>
            </w:pPr>
          </w:p>
        </w:tc>
        <w:tc>
          <w:tcPr>
            <w:tcW w:w="1242" w:type="dxa"/>
          </w:tcPr>
          <w:p w:rsidR="00CA70EC" w:rsidRDefault="00CA70EC" w:rsidP="009132F1">
            <w:pPr>
              <w:jc w:val="center"/>
              <w:cnfStyle w:val="000000000000" w:firstRow="0" w:lastRow="0" w:firstColumn="0" w:lastColumn="0" w:oddVBand="0" w:evenVBand="0" w:oddHBand="0" w:evenHBand="0" w:firstRowFirstColumn="0" w:firstRowLastColumn="0" w:lastRowFirstColumn="0" w:lastRowLastColumn="0"/>
            </w:pPr>
          </w:p>
        </w:tc>
        <w:tc>
          <w:tcPr>
            <w:tcW w:w="1242" w:type="dxa"/>
          </w:tcPr>
          <w:p w:rsidR="00CA70EC" w:rsidRDefault="00CA70EC" w:rsidP="009132F1">
            <w:pPr>
              <w:jc w:val="center"/>
              <w:cnfStyle w:val="000000000000" w:firstRow="0" w:lastRow="0" w:firstColumn="0" w:lastColumn="0" w:oddVBand="0" w:evenVBand="0" w:oddHBand="0" w:evenHBand="0" w:firstRowFirstColumn="0" w:firstRowLastColumn="0" w:lastRowFirstColumn="0" w:lastRowLastColumn="0"/>
            </w:pPr>
            <w:r w:rsidRPr="0008500E">
              <w:rPr>
                <w:rFonts w:ascii="Arial Unicode MS" w:eastAsia="Arial Unicode MS" w:hAnsi="Arial Unicode MS" w:cs="Arial Unicode MS" w:hint="eastAsia"/>
                <w:b/>
              </w:rPr>
              <w:t>√</w:t>
            </w:r>
          </w:p>
        </w:tc>
        <w:tc>
          <w:tcPr>
            <w:tcW w:w="1242" w:type="dxa"/>
          </w:tcPr>
          <w:p w:rsidR="00CA70EC" w:rsidRDefault="00CA70EC" w:rsidP="009132F1">
            <w:pPr>
              <w:jc w:val="center"/>
              <w:cnfStyle w:val="000000000000" w:firstRow="0" w:lastRow="0" w:firstColumn="0" w:lastColumn="0" w:oddVBand="0" w:evenVBand="0" w:oddHBand="0" w:evenHBand="0" w:firstRowFirstColumn="0" w:firstRowLastColumn="0" w:lastRowFirstColumn="0" w:lastRowLastColumn="0"/>
            </w:pPr>
            <w:r w:rsidRPr="0008500E">
              <w:rPr>
                <w:rFonts w:ascii="Arial Unicode MS" w:eastAsia="Arial Unicode MS" w:hAnsi="Arial Unicode MS" w:cs="Arial Unicode MS" w:hint="eastAsia"/>
                <w:b/>
              </w:rPr>
              <w:t>√</w:t>
            </w:r>
          </w:p>
        </w:tc>
      </w:tr>
      <w:tr w:rsidR="00CA70EC" w:rsidTr="009132F1">
        <w:trPr>
          <w:cantSplit/>
        </w:trPr>
        <w:tc>
          <w:tcPr>
            <w:cnfStyle w:val="001000000000" w:firstRow="0" w:lastRow="0" w:firstColumn="1" w:lastColumn="0" w:oddVBand="0" w:evenVBand="0" w:oddHBand="0" w:evenHBand="0" w:firstRowFirstColumn="0" w:firstRowLastColumn="0" w:lastRowFirstColumn="0" w:lastRowLastColumn="0"/>
            <w:tcW w:w="4608" w:type="dxa"/>
          </w:tcPr>
          <w:p w:rsidR="00CA70EC" w:rsidRDefault="00CA70EC" w:rsidP="009132F1">
            <w:r>
              <w:t>Allows Ratings and Comments for Continuous Improvement of Materials</w:t>
            </w:r>
          </w:p>
        </w:tc>
        <w:tc>
          <w:tcPr>
            <w:tcW w:w="1242" w:type="dxa"/>
          </w:tcPr>
          <w:p w:rsidR="00CA70EC" w:rsidRDefault="00CA70EC" w:rsidP="009132F1">
            <w:pPr>
              <w:jc w:val="center"/>
              <w:cnfStyle w:val="000000000000" w:firstRow="0" w:lastRow="0" w:firstColumn="0" w:lastColumn="0" w:oddVBand="0" w:evenVBand="0" w:oddHBand="0" w:evenHBand="0" w:firstRowFirstColumn="0" w:firstRowLastColumn="0" w:lastRowFirstColumn="0" w:lastRowLastColumn="0"/>
            </w:pPr>
          </w:p>
        </w:tc>
        <w:tc>
          <w:tcPr>
            <w:tcW w:w="1242" w:type="dxa"/>
          </w:tcPr>
          <w:p w:rsidR="00CA70EC" w:rsidRDefault="00CA70EC" w:rsidP="009132F1">
            <w:pPr>
              <w:jc w:val="center"/>
              <w:cnfStyle w:val="000000000000" w:firstRow="0" w:lastRow="0" w:firstColumn="0" w:lastColumn="0" w:oddVBand="0" w:evenVBand="0" w:oddHBand="0" w:evenHBand="0" w:firstRowFirstColumn="0" w:firstRowLastColumn="0" w:lastRowFirstColumn="0" w:lastRowLastColumn="0"/>
            </w:pPr>
          </w:p>
        </w:tc>
        <w:tc>
          <w:tcPr>
            <w:tcW w:w="1242" w:type="dxa"/>
          </w:tcPr>
          <w:p w:rsidR="00CA70EC" w:rsidRDefault="00CA70EC" w:rsidP="009132F1">
            <w:pPr>
              <w:jc w:val="center"/>
              <w:cnfStyle w:val="000000000000" w:firstRow="0" w:lastRow="0" w:firstColumn="0" w:lastColumn="0" w:oddVBand="0" w:evenVBand="0" w:oddHBand="0" w:evenHBand="0" w:firstRowFirstColumn="0" w:firstRowLastColumn="0" w:lastRowFirstColumn="0" w:lastRowLastColumn="0"/>
            </w:pPr>
            <w:r w:rsidRPr="0008500E">
              <w:rPr>
                <w:rFonts w:ascii="Arial Unicode MS" w:eastAsia="Arial Unicode MS" w:hAnsi="Arial Unicode MS" w:cs="Arial Unicode MS" w:hint="eastAsia"/>
                <w:b/>
              </w:rPr>
              <w:t>√</w:t>
            </w:r>
          </w:p>
        </w:tc>
        <w:tc>
          <w:tcPr>
            <w:tcW w:w="1242" w:type="dxa"/>
          </w:tcPr>
          <w:p w:rsidR="00CA70EC" w:rsidRDefault="00CA70EC" w:rsidP="009132F1">
            <w:pPr>
              <w:jc w:val="center"/>
              <w:cnfStyle w:val="000000000000" w:firstRow="0" w:lastRow="0" w:firstColumn="0" w:lastColumn="0" w:oddVBand="0" w:evenVBand="0" w:oddHBand="0" w:evenHBand="0" w:firstRowFirstColumn="0" w:firstRowLastColumn="0" w:lastRowFirstColumn="0" w:lastRowLastColumn="0"/>
            </w:pPr>
            <w:r w:rsidRPr="0008500E">
              <w:rPr>
                <w:rFonts w:ascii="Arial Unicode MS" w:eastAsia="Arial Unicode MS" w:hAnsi="Arial Unicode MS" w:cs="Arial Unicode MS" w:hint="eastAsia"/>
                <w:b/>
              </w:rPr>
              <w:t>√</w:t>
            </w:r>
          </w:p>
        </w:tc>
      </w:tr>
      <w:tr w:rsidR="00CA70EC" w:rsidTr="009132F1">
        <w:trPr>
          <w:cantSplit/>
        </w:trPr>
        <w:tc>
          <w:tcPr>
            <w:cnfStyle w:val="001000000000" w:firstRow="0" w:lastRow="0" w:firstColumn="1" w:lastColumn="0" w:oddVBand="0" w:evenVBand="0" w:oddHBand="0" w:evenHBand="0" w:firstRowFirstColumn="0" w:firstRowLastColumn="0" w:lastRowFirstColumn="0" w:lastRowLastColumn="0"/>
            <w:tcW w:w="4608" w:type="dxa"/>
          </w:tcPr>
          <w:p w:rsidR="00CA70EC" w:rsidRDefault="00CA70EC" w:rsidP="009132F1">
            <w:r>
              <w:t>Allows Development of Materials in Private, Supportive Group</w:t>
            </w:r>
          </w:p>
        </w:tc>
        <w:tc>
          <w:tcPr>
            <w:tcW w:w="1242" w:type="dxa"/>
          </w:tcPr>
          <w:p w:rsidR="00CA70EC" w:rsidRDefault="00CA70EC" w:rsidP="009132F1">
            <w:pPr>
              <w:jc w:val="center"/>
              <w:cnfStyle w:val="000000000000" w:firstRow="0" w:lastRow="0" w:firstColumn="0" w:lastColumn="0" w:oddVBand="0" w:evenVBand="0" w:oddHBand="0" w:evenHBand="0" w:firstRowFirstColumn="0" w:firstRowLastColumn="0" w:lastRowFirstColumn="0" w:lastRowLastColumn="0"/>
            </w:pPr>
          </w:p>
        </w:tc>
        <w:tc>
          <w:tcPr>
            <w:tcW w:w="1242" w:type="dxa"/>
          </w:tcPr>
          <w:p w:rsidR="00CA70EC" w:rsidRDefault="00CA70EC" w:rsidP="009132F1">
            <w:pPr>
              <w:jc w:val="center"/>
              <w:cnfStyle w:val="000000000000" w:firstRow="0" w:lastRow="0" w:firstColumn="0" w:lastColumn="0" w:oddVBand="0" w:evenVBand="0" w:oddHBand="0" w:evenHBand="0" w:firstRowFirstColumn="0" w:firstRowLastColumn="0" w:lastRowFirstColumn="0" w:lastRowLastColumn="0"/>
            </w:pPr>
          </w:p>
        </w:tc>
        <w:tc>
          <w:tcPr>
            <w:tcW w:w="1242" w:type="dxa"/>
          </w:tcPr>
          <w:p w:rsidR="00CA70EC" w:rsidRPr="00CA70EC" w:rsidRDefault="00CA70EC" w:rsidP="009132F1">
            <w:pPr>
              <w:jc w:val="center"/>
              <w:cnfStyle w:val="000000000000" w:firstRow="0" w:lastRow="0" w:firstColumn="0" w:lastColumn="0" w:oddVBand="0" w:evenVBand="0" w:oddHBand="0" w:evenHBand="0" w:firstRowFirstColumn="0" w:firstRowLastColumn="0" w:lastRowFirstColumn="0" w:lastRowLastColumn="0"/>
              <w:rPr>
                <w:b/>
              </w:rPr>
            </w:pPr>
          </w:p>
        </w:tc>
        <w:tc>
          <w:tcPr>
            <w:tcW w:w="1242" w:type="dxa"/>
          </w:tcPr>
          <w:p w:rsidR="00CA70EC" w:rsidRDefault="00CA70EC" w:rsidP="009132F1">
            <w:pPr>
              <w:jc w:val="center"/>
              <w:cnfStyle w:val="000000000000" w:firstRow="0" w:lastRow="0" w:firstColumn="0" w:lastColumn="0" w:oddVBand="0" w:evenVBand="0" w:oddHBand="0" w:evenHBand="0" w:firstRowFirstColumn="0" w:firstRowLastColumn="0" w:lastRowFirstColumn="0" w:lastRowLastColumn="0"/>
            </w:pPr>
            <w:r w:rsidRPr="0008500E">
              <w:rPr>
                <w:rFonts w:ascii="Arial Unicode MS" w:eastAsia="Arial Unicode MS" w:hAnsi="Arial Unicode MS" w:cs="Arial Unicode MS" w:hint="eastAsia"/>
                <w:b/>
              </w:rPr>
              <w:t>√</w:t>
            </w:r>
          </w:p>
        </w:tc>
      </w:tr>
    </w:tbl>
    <w:p w:rsidR="00CA70EC" w:rsidRPr="00BE1A6F" w:rsidRDefault="00CA70EC" w:rsidP="00CA70EC"/>
    <w:p w:rsidR="00CA70EC" w:rsidRDefault="00CA70EC" w:rsidP="00CA70EC">
      <w:pPr>
        <w:pStyle w:val="Heading2"/>
      </w:pPr>
      <w:r>
        <w:t>Website Screenshots</w:t>
      </w:r>
    </w:p>
    <w:p w:rsidR="004703B9" w:rsidRDefault="004703B9" w:rsidP="004703B9">
      <w:r>
        <w:rPr>
          <w:noProof/>
          <w:lang w:eastAsia="en-US"/>
        </w:rPr>
        <w:drawing>
          <wp:inline distT="0" distB="0" distL="0" distR="0">
            <wp:extent cx="2925715" cy="1714286"/>
            <wp:effectExtent l="19050" t="0" r="7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2925715" cy="1714286"/>
                    </a:xfrm>
                    <a:prstGeom prst="rect">
                      <a:avLst/>
                    </a:prstGeom>
                    <a:noFill/>
                    <a:ln w="9525">
                      <a:noFill/>
                      <a:miter lim="800000"/>
                      <a:headEnd/>
                      <a:tailEnd/>
                    </a:ln>
                  </pic:spPr>
                </pic:pic>
              </a:graphicData>
            </a:graphic>
          </wp:inline>
        </w:drawing>
      </w:r>
      <w:r>
        <w:rPr>
          <w:noProof/>
          <w:lang w:eastAsia="en-US"/>
        </w:rPr>
        <w:drawing>
          <wp:inline distT="0" distB="0" distL="0" distR="0">
            <wp:extent cx="2925715" cy="1714286"/>
            <wp:effectExtent l="19050" t="0" r="7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2925715" cy="1714286"/>
                    </a:xfrm>
                    <a:prstGeom prst="rect">
                      <a:avLst/>
                    </a:prstGeom>
                    <a:noFill/>
                    <a:ln w="9525">
                      <a:noFill/>
                      <a:miter lim="800000"/>
                      <a:headEnd/>
                      <a:tailEnd/>
                    </a:ln>
                  </pic:spPr>
                </pic:pic>
              </a:graphicData>
            </a:graphic>
          </wp:inline>
        </w:drawing>
      </w:r>
    </w:p>
    <w:p w:rsidR="004703B9" w:rsidRPr="004703B9" w:rsidRDefault="004703B9" w:rsidP="004703B9">
      <w:r>
        <w:t xml:space="preserve">To test it for yourself, visit www.teacherati.com. </w:t>
      </w:r>
    </w:p>
    <w:p w:rsidR="008C2F30" w:rsidRDefault="008C2F30" w:rsidP="008C2F30">
      <w:pPr>
        <w:pStyle w:val="Heading1"/>
      </w:pPr>
      <w:r>
        <w:t>Number of faculty implementing this method:</w:t>
      </w:r>
    </w:p>
    <w:p w:rsidR="008C2F30" w:rsidRDefault="008C2F30" w:rsidP="008C2F30">
      <w:r>
        <w:t>1</w:t>
      </w:r>
    </w:p>
    <w:p w:rsidR="008C2F30" w:rsidRDefault="008C2F30" w:rsidP="008C2F30">
      <w:pPr>
        <w:pStyle w:val="Heading1"/>
      </w:pPr>
      <w:r>
        <w:t>Estimated number of students impacted by this practice</w:t>
      </w:r>
    </w:p>
    <w:p w:rsidR="008C2F30" w:rsidRDefault="008C2F30" w:rsidP="008C2F30">
      <w:r>
        <w:t>150</w:t>
      </w:r>
    </w:p>
    <w:p w:rsidR="008C2F30" w:rsidRDefault="008C2F30" w:rsidP="008C2F30">
      <w:pPr>
        <w:pStyle w:val="Heading1"/>
      </w:pPr>
      <w:r>
        <w:t>Courses/Sections That Implemented the Methods</w:t>
      </w:r>
    </w:p>
    <w:p w:rsidR="008C2F30" w:rsidRDefault="008C2F30" w:rsidP="008C2F30">
      <w:r w:rsidRPr="008C2F30">
        <w:t>CIS 255 11 SP1</w:t>
      </w:r>
      <w:r>
        <w:t xml:space="preserve">5, </w:t>
      </w:r>
      <w:r w:rsidRPr="008C2F30">
        <w:t>CIS 355 31 SU15</w:t>
      </w:r>
      <w:r>
        <w:t xml:space="preserve">, </w:t>
      </w:r>
      <w:r w:rsidRPr="008C2F30">
        <w:t>CIS 255 01 FA15</w:t>
      </w:r>
      <w:r>
        <w:t xml:space="preserve">, CIS 355 01 WI16, </w:t>
      </w:r>
      <w:r w:rsidRPr="008C2F30">
        <w:t>CS 403 01 FA15</w:t>
      </w:r>
      <w:r>
        <w:t xml:space="preserve">, </w:t>
      </w:r>
      <w:r w:rsidRPr="008C2F30">
        <w:t>CS 461 01 FA1</w:t>
      </w:r>
    </w:p>
    <w:p w:rsidR="008C2F30" w:rsidRDefault="008C2F30" w:rsidP="008C2F30">
      <w:pPr>
        <w:pStyle w:val="Heading1"/>
      </w:pPr>
      <w:r>
        <w:t>Data measuring student retention and success</w:t>
      </w:r>
    </w:p>
    <w:p w:rsidR="008C2F30" w:rsidRDefault="008C2F30" w:rsidP="008C2F30">
      <w:r>
        <w:t xml:space="preserve">Data collected is in the form of case studies. There were not enough data points to perform meaningful statistical analysis. The purpose of this project was to develop a template and identify case studies which would raise research questions which could be investigated on a larger scale. </w:t>
      </w:r>
    </w:p>
    <w:p w:rsidR="008C2F30" w:rsidRDefault="008C2F30" w:rsidP="0008500E">
      <w:pPr>
        <w:pStyle w:val="Heading2"/>
      </w:pPr>
      <w:r>
        <w:lastRenderedPageBreak/>
        <w:t>Contributors:</w:t>
      </w:r>
    </w:p>
    <w:p w:rsidR="00BE1A6F" w:rsidRDefault="008C2F30" w:rsidP="007A2BE2">
      <w:r>
        <w:t>Andrew York</w:t>
      </w:r>
      <w:r w:rsidR="007A2BE2">
        <w:t xml:space="preserve">, </w:t>
      </w:r>
      <w:r>
        <w:t>Mike Roof</w:t>
      </w:r>
      <w:r w:rsidR="007A2BE2">
        <w:t xml:space="preserve">, </w:t>
      </w:r>
      <w:r>
        <w:t>Chad Schroder</w:t>
      </w:r>
      <w:r w:rsidR="007A2BE2">
        <w:t xml:space="preserve">, </w:t>
      </w:r>
      <w:proofErr w:type="spellStart"/>
      <w:r>
        <w:t>Waqas</w:t>
      </w:r>
      <w:proofErr w:type="spellEnd"/>
      <w:r>
        <w:t xml:space="preserve"> Qureshi</w:t>
      </w:r>
      <w:r w:rsidR="007A2BE2">
        <w:t xml:space="preserve">, </w:t>
      </w:r>
      <w:r>
        <w:t xml:space="preserve">Jessica </w:t>
      </w:r>
      <w:proofErr w:type="spellStart"/>
      <w:r>
        <w:t>Todoroff</w:t>
      </w:r>
      <w:proofErr w:type="spellEnd"/>
      <w:r w:rsidR="007A2BE2">
        <w:t xml:space="preserve">, </w:t>
      </w:r>
      <w:r>
        <w:t>Elijah Wilson</w:t>
      </w:r>
      <w:r w:rsidR="007A2BE2">
        <w:t xml:space="preserve">, </w:t>
      </w:r>
      <w:r>
        <w:t xml:space="preserve">Graham </w:t>
      </w:r>
      <w:proofErr w:type="spellStart"/>
      <w:r>
        <w:t>Bewley</w:t>
      </w:r>
      <w:proofErr w:type="spellEnd"/>
      <w:r w:rsidR="007A2BE2">
        <w:t xml:space="preserve">, </w:t>
      </w:r>
      <w:r>
        <w:t>Dan Delano</w:t>
      </w:r>
      <w:r w:rsidR="007A2BE2">
        <w:t xml:space="preserve">, </w:t>
      </w:r>
      <w:r>
        <w:t>Brian Cobb</w:t>
      </w:r>
      <w:r w:rsidR="007A2BE2">
        <w:t xml:space="preserve">, </w:t>
      </w:r>
      <w:proofErr w:type="spellStart"/>
      <w:r>
        <w:t>Dustyn</w:t>
      </w:r>
      <w:proofErr w:type="spellEnd"/>
      <w:r>
        <w:t xml:space="preserve"> Tubbs</w:t>
      </w:r>
      <w:r w:rsidR="007A2BE2">
        <w:t xml:space="preserve">, </w:t>
      </w:r>
      <w:r>
        <w:t xml:space="preserve">Joe </w:t>
      </w:r>
      <w:proofErr w:type="spellStart"/>
      <w:r>
        <w:t>Nicklyn</w:t>
      </w:r>
      <w:proofErr w:type="spellEnd"/>
      <w:r w:rsidR="007A2BE2">
        <w:t xml:space="preserve">, </w:t>
      </w:r>
      <w:r>
        <w:t>Charles Liggett</w:t>
      </w:r>
      <w:r w:rsidR="007A2BE2">
        <w:t xml:space="preserve">, </w:t>
      </w:r>
      <w:r>
        <w:t xml:space="preserve">Brad </w:t>
      </w:r>
      <w:proofErr w:type="spellStart"/>
      <w:r>
        <w:t>Chippi</w:t>
      </w:r>
      <w:proofErr w:type="spellEnd"/>
      <w:r w:rsidR="007A2BE2">
        <w:t xml:space="preserve">, </w:t>
      </w:r>
      <w:r>
        <w:t>Aaron Hooper</w:t>
      </w:r>
    </w:p>
    <w:p w:rsidR="0008500E" w:rsidRDefault="0008500E" w:rsidP="0008500E">
      <w:pPr>
        <w:pStyle w:val="Heading1"/>
      </w:pPr>
      <w:r>
        <w:t>Final Budget Expenditures</w:t>
      </w:r>
    </w:p>
    <w:p w:rsidR="0008500E" w:rsidRDefault="0008500E" w:rsidP="0008500E">
      <w:r>
        <w:t xml:space="preserve">The budget was hardly touched. It became clear early in the project that food and meetings were not necessary. The people who wanted to do the work were eager to do so without compensation. The people who wanted the food and meetings did not do much if any work. </w:t>
      </w:r>
    </w:p>
    <w:p w:rsidR="00CA70EC" w:rsidRDefault="00CA70EC" w:rsidP="00CA70EC">
      <w:pPr>
        <w:pStyle w:val="Heading2"/>
      </w:pPr>
      <w:r>
        <w:t>Budget (Actual)</w:t>
      </w:r>
    </w:p>
    <w:p w:rsidR="0008500E" w:rsidRDefault="0008500E" w:rsidP="0008500E">
      <w:r>
        <w:rPr>
          <w:noProof/>
          <w:lang w:eastAsia="en-US"/>
        </w:rPr>
        <w:drawing>
          <wp:inline distT="0" distB="0" distL="0" distR="0">
            <wp:extent cx="5934075" cy="184785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34075" cy="1847850"/>
                    </a:xfrm>
                    <a:prstGeom prst="rect">
                      <a:avLst/>
                    </a:prstGeom>
                    <a:noFill/>
                    <a:ln w="9525">
                      <a:solidFill>
                        <a:schemeClr val="accent1"/>
                      </a:solidFill>
                      <a:miter lim="800000"/>
                      <a:headEnd/>
                      <a:tailEnd/>
                    </a:ln>
                  </pic:spPr>
                </pic:pic>
              </a:graphicData>
            </a:graphic>
          </wp:inline>
        </w:drawing>
      </w:r>
    </w:p>
    <w:p w:rsidR="00CA70EC" w:rsidRDefault="00CA70EC" w:rsidP="00CA70EC">
      <w:pPr>
        <w:pStyle w:val="Heading2"/>
      </w:pPr>
      <w:r>
        <w:t>Budget (Proposed)</w:t>
      </w:r>
    </w:p>
    <w:tbl>
      <w:tblPr>
        <w:tblStyle w:val="GridTable1Light-Accent11"/>
        <w:tblW w:w="0" w:type="auto"/>
        <w:tblInd w:w="108" w:type="dxa"/>
        <w:tblLook w:val="04A0" w:firstRow="1" w:lastRow="0" w:firstColumn="1" w:lastColumn="0" w:noHBand="0" w:noVBand="1"/>
      </w:tblPr>
      <w:tblGrid>
        <w:gridCol w:w="2229"/>
        <w:gridCol w:w="2337"/>
        <w:gridCol w:w="2338"/>
        <w:gridCol w:w="2338"/>
      </w:tblGrid>
      <w:tr w:rsidR="00CA70EC" w:rsidTr="00CA70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CA70EC" w:rsidRDefault="00CA70EC" w:rsidP="009132F1">
            <w:r>
              <w:t>Item</w:t>
            </w:r>
          </w:p>
        </w:tc>
        <w:tc>
          <w:tcPr>
            <w:tcW w:w="2337" w:type="dxa"/>
          </w:tcPr>
          <w:p w:rsidR="00CA70EC" w:rsidRDefault="00CA70EC" w:rsidP="009132F1">
            <w:pPr>
              <w:jc w:val="center"/>
              <w:cnfStyle w:val="100000000000" w:firstRow="1" w:lastRow="0" w:firstColumn="0" w:lastColumn="0" w:oddVBand="0" w:evenVBand="0" w:oddHBand="0" w:evenHBand="0" w:firstRowFirstColumn="0" w:firstRowLastColumn="0" w:lastRowFirstColumn="0" w:lastRowLastColumn="0"/>
            </w:pPr>
            <w:r>
              <w:t>Qty</w:t>
            </w:r>
          </w:p>
        </w:tc>
        <w:tc>
          <w:tcPr>
            <w:tcW w:w="2338" w:type="dxa"/>
          </w:tcPr>
          <w:p w:rsidR="00CA70EC" w:rsidRDefault="00CA70EC" w:rsidP="009132F1">
            <w:pPr>
              <w:jc w:val="center"/>
              <w:cnfStyle w:val="100000000000" w:firstRow="1" w:lastRow="0" w:firstColumn="0" w:lastColumn="0" w:oddVBand="0" w:evenVBand="0" w:oddHBand="0" w:evenHBand="0" w:firstRowFirstColumn="0" w:firstRowLastColumn="0" w:lastRowFirstColumn="0" w:lastRowLastColumn="0"/>
            </w:pPr>
            <w:r>
              <w:t>Rate</w:t>
            </w:r>
          </w:p>
        </w:tc>
        <w:tc>
          <w:tcPr>
            <w:tcW w:w="2338" w:type="dxa"/>
          </w:tcPr>
          <w:p w:rsidR="00CA70EC" w:rsidRDefault="00CA70EC" w:rsidP="009132F1">
            <w:pPr>
              <w:jc w:val="right"/>
              <w:cnfStyle w:val="100000000000" w:firstRow="1" w:lastRow="0" w:firstColumn="0" w:lastColumn="0" w:oddVBand="0" w:evenVBand="0" w:oddHBand="0" w:evenHBand="0" w:firstRowFirstColumn="0" w:firstRowLastColumn="0" w:lastRowFirstColumn="0" w:lastRowLastColumn="0"/>
            </w:pPr>
            <w:r>
              <w:t>Subtotal</w:t>
            </w:r>
          </w:p>
        </w:tc>
      </w:tr>
      <w:tr w:rsidR="00CA70EC" w:rsidTr="00CA70EC">
        <w:tc>
          <w:tcPr>
            <w:cnfStyle w:val="001000000000" w:firstRow="0" w:lastRow="0" w:firstColumn="1" w:lastColumn="0" w:oddVBand="0" w:evenVBand="0" w:oddHBand="0" w:evenHBand="0" w:firstRowFirstColumn="0" w:firstRowLastColumn="0" w:lastRowFirstColumn="0" w:lastRowLastColumn="0"/>
            <w:tcW w:w="2229" w:type="dxa"/>
          </w:tcPr>
          <w:p w:rsidR="00CA70EC" w:rsidRDefault="00CA70EC" w:rsidP="009132F1">
            <w:r>
              <w:t>Mileage</w:t>
            </w:r>
          </w:p>
        </w:tc>
        <w:tc>
          <w:tcPr>
            <w:tcW w:w="2337" w:type="dxa"/>
          </w:tcPr>
          <w:p w:rsidR="00CA70EC" w:rsidRDefault="00CA70EC" w:rsidP="009132F1">
            <w:pPr>
              <w:jc w:val="center"/>
              <w:cnfStyle w:val="000000000000" w:firstRow="0" w:lastRow="0" w:firstColumn="0" w:lastColumn="0" w:oddVBand="0" w:evenVBand="0" w:oddHBand="0" w:evenHBand="0" w:firstRowFirstColumn="0" w:firstRowLastColumn="0" w:lastRowFirstColumn="0" w:lastRowLastColumn="0"/>
            </w:pPr>
            <w:r>
              <w:t>2000 miles</w:t>
            </w:r>
          </w:p>
        </w:tc>
        <w:tc>
          <w:tcPr>
            <w:tcW w:w="2338" w:type="dxa"/>
          </w:tcPr>
          <w:p w:rsidR="00CA70EC" w:rsidRDefault="00CA70EC" w:rsidP="009132F1">
            <w:pPr>
              <w:jc w:val="center"/>
              <w:cnfStyle w:val="000000000000" w:firstRow="0" w:lastRow="0" w:firstColumn="0" w:lastColumn="0" w:oddVBand="0" w:evenVBand="0" w:oddHBand="0" w:evenHBand="0" w:firstRowFirstColumn="0" w:firstRowLastColumn="0" w:lastRowFirstColumn="0" w:lastRowLastColumn="0"/>
            </w:pPr>
            <w:r>
              <w:t>0.50 / mile</w:t>
            </w:r>
          </w:p>
        </w:tc>
        <w:tc>
          <w:tcPr>
            <w:tcW w:w="2338" w:type="dxa"/>
          </w:tcPr>
          <w:p w:rsidR="00CA70EC" w:rsidRDefault="00CA70EC" w:rsidP="009132F1">
            <w:pPr>
              <w:jc w:val="right"/>
              <w:cnfStyle w:val="000000000000" w:firstRow="0" w:lastRow="0" w:firstColumn="0" w:lastColumn="0" w:oddVBand="0" w:evenVBand="0" w:oddHBand="0" w:evenHBand="0" w:firstRowFirstColumn="0" w:firstRowLastColumn="0" w:lastRowFirstColumn="0" w:lastRowLastColumn="0"/>
            </w:pPr>
            <w:r>
              <w:t>$1000.00</w:t>
            </w:r>
          </w:p>
        </w:tc>
      </w:tr>
      <w:tr w:rsidR="00CA70EC" w:rsidTr="00CA70EC">
        <w:tc>
          <w:tcPr>
            <w:cnfStyle w:val="001000000000" w:firstRow="0" w:lastRow="0" w:firstColumn="1" w:lastColumn="0" w:oddVBand="0" w:evenVBand="0" w:oddHBand="0" w:evenHBand="0" w:firstRowFirstColumn="0" w:firstRowLastColumn="0" w:lastRowFirstColumn="0" w:lastRowLastColumn="0"/>
            <w:tcW w:w="2229" w:type="dxa"/>
          </w:tcPr>
          <w:p w:rsidR="00CA70EC" w:rsidRDefault="00CA70EC" w:rsidP="009132F1">
            <w:r>
              <w:t>Food</w:t>
            </w:r>
          </w:p>
        </w:tc>
        <w:tc>
          <w:tcPr>
            <w:tcW w:w="2337" w:type="dxa"/>
          </w:tcPr>
          <w:p w:rsidR="00CA70EC" w:rsidRDefault="00CA70EC" w:rsidP="009132F1">
            <w:pPr>
              <w:jc w:val="center"/>
              <w:cnfStyle w:val="000000000000" w:firstRow="0" w:lastRow="0" w:firstColumn="0" w:lastColumn="0" w:oddVBand="0" w:evenVBand="0" w:oddHBand="0" w:evenHBand="0" w:firstRowFirstColumn="0" w:firstRowLastColumn="0" w:lastRowFirstColumn="0" w:lastRowLastColumn="0"/>
            </w:pPr>
            <w:r>
              <w:t>6 meetings</w:t>
            </w:r>
          </w:p>
        </w:tc>
        <w:tc>
          <w:tcPr>
            <w:tcW w:w="2338" w:type="dxa"/>
          </w:tcPr>
          <w:p w:rsidR="00CA70EC" w:rsidRDefault="00CA70EC" w:rsidP="009132F1">
            <w:pPr>
              <w:jc w:val="center"/>
              <w:cnfStyle w:val="000000000000" w:firstRow="0" w:lastRow="0" w:firstColumn="0" w:lastColumn="0" w:oddVBand="0" w:evenVBand="0" w:oddHBand="0" w:evenHBand="0" w:firstRowFirstColumn="0" w:firstRowLastColumn="0" w:lastRowFirstColumn="0" w:lastRowLastColumn="0"/>
            </w:pPr>
            <w:r>
              <w:t>$500.00 / meeting</w:t>
            </w:r>
          </w:p>
        </w:tc>
        <w:tc>
          <w:tcPr>
            <w:tcW w:w="2338" w:type="dxa"/>
          </w:tcPr>
          <w:p w:rsidR="00CA70EC" w:rsidRDefault="00CA70EC" w:rsidP="009132F1">
            <w:pPr>
              <w:jc w:val="right"/>
              <w:cnfStyle w:val="000000000000" w:firstRow="0" w:lastRow="0" w:firstColumn="0" w:lastColumn="0" w:oddVBand="0" w:evenVBand="0" w:oddHBand="0" w:evenHBand="0" w:firstRowFirstColumn="0" w:firstRowLastColumn="0" w:lastRowFirstColumn="0" w:lastRowLastColumn="0"/>
            </w:pPr>
            <w:r>
              <w:t>3000.00</w:t>
            </w:r>
          </w:p>
        </w:tc>
      </w:tr>
      <w:tr w:rsidR="00CA70EC" w:rsidTr="00CA70EC">
        <w:tc>
          <w:tcPr>
            <w:cnfStyle w:val="001000000000" w:firstRow="0" w:lastRow="0" w:firstColumn="1" w:lastColumn="0" w:oddVBand="0" w:evenVBand="0" w:oddHBand="0" w:evenHBand="0" w:firstRowFirstColumn="0" w:firstRowLastColumn="0" w:lastRowFirstColumn="0" w:lastRowLastColumn="0"/>
            <w:tcW w:w="2229" w:type="dxa"/>
          </w:tcPr>
          <w:p w:rsidR="00CA70EC" w:rsidRDefault="00CA70EC" w:rsidP="009132F1">
            <w:r>
              <w:t>Printing / Supplies</w:t>
            </w:r>
          </w:p>
        </w:tc>
        <w:tc>
          <w:tcPr>
            <w:tcW w:w="2337" w:type="dxa"/>
          </w:tcPr>
          <w:p w:rsidR="00CA70EC" w:rsidRDefault="00CA70EC" w:rsidP="009132F1">
            <w:pPr>
              <w:jc w:val="center"/>
              <w:cnfStyle w:val="000000000000" w:firstRow="0" w:lastRow="0" w:firstColumn="0" w:lastColumn="0" w:oddVBand="0" w:evenVBand="0" w:oddHBand="0" w:evenHBand="0" w:firstRowFirstColumn="0" w:firstRowLastColumn="0" w:lastRowFirstColumn="0" w:lastRowLastColumn="0"/>
            </w:pPr>
            <w:r>
              <w:t>Est.</w:t>
            </w:r>
          </w:p>
        </w:tc>
        <w:tc>
          <w:tcPr>
            <w:tcW w:w="2338" w:type="dxa"/>
          </w:tcPr>
          <w:p w:rsidR="00CA70EC" w:rsidRDefault="00CA70EC" w:rsidP="009132F1">
            <w:pPr>
              <w:jc w:val="center"/>
              <w:cnfStyle w:val="000000000000" w:firstRow="0" w:lastRow="0" w:firstColumn="0" w:lastColumn="0" w:oddVBand="0" w:evenVBand="0" w:oddHBand="0" w:evenHBand="0" w:firstRowFirstColumn="0" w:firstRowLastColumn="0" w:lastRowFirstColumn="0" w:lastRowLastColumn="0"/>
            </w:pPr>
            <w:r>
              <w:t>Est.</w:t>
            </w:r>
          </w:p>
        </w:tc>
        <w:tc>
          <w:tcPr>
            <w:tcW w:w="2338" w:type="dxa"/>
          </w:tcPr>
          <w:p w:rsidR="00CA70EC" w:rsidRDefault="00CA70EC" w:rsidP="009132F1">
            <w:pPr>
              <w:jc w:val="right"/>
              <w:cnfStyle w:val="000000000000" w:firstRow="0" w:lastRow="0" w:firstColumn="0" w:lastColumn="0" w:oddVBand="0" w:evenVBand="0" w:oddHBand="0" w:evenHBand="0" w:firstRowFirstColumn="0" w:firstRowLastColumn="0" w:lastRowFirstColumn="0" w:lastRowLastColumn="0"/>
            </w:pPr>
            <w:r>
              <w:t>$1000.00</w:t>
            </w:r>
          </w:p>
        </w:tc>
      </w:tr>
      <w:tr w:rsidR="00CA70EC" w:rsidRPr="0064081E" w:rsidTr="00CA70EC">
        <w:tc>
          <w:tcPr>
            <w:cnfStyle w:val="001000000000" w:firstRow="0" w:lastRow="0" w:firstColumn="1" w:lastColumn="0" w:oddVBand="0" w:evenVBand="0" w:oddHBand="0" w:evenHBand="0" w:firstRowFirstColumn="0" w:firstRowLastColumn="0" w:lastRowFirstColumn="0" w:lastRowLastColumn="0"/>
            <w:tcW w:w="2229" w:type="dxa"/>
          </w:tcPr>
          <w:p w:rsidR="00CA70EC" w:rsidRPr="0064081E" w:rsidRDefault="00CA70EC" w:rsidP="009132F1">
            <w:r w:rsidRPr="0064081E">
              <w:t>TOTAL</w:t>
            </w:r>
          </w:p>
        </w:tc>
        <w:tc>
          <w:tcPr>
            <w:tcW w:w="7013" w:type="dxa"/>
            <w:gridSpan w:val="3"/>
          </w:tcPr>
          <w:p w:rsidR="00CA70EC" w:rsidRPr="0064081E" w:rsidRDefault="00CA70EC" w:rsidP="009132F1">
            <w:pPr>
              <w:jc w:val="right"/>
              <w:cnfStyle w:val="000000000000" w:firstRow="0" w:lastRow="0" w:firstColumn="0" w:lastColumn="0" w:oddVBand="0" w:evenVBand="0" w:oddHBand="0" w:evenHBand="0" w:firstRowFirstColumn="0" w:firstRowLastColumn="0" w:lastRowFirstColumn="0" w:lastRowLastColumn="0"/>
              <w:rPr>
                <w:b/>
              </w:rPr>
            </w:pPr>
            <w:r w:rsidRPr="0064081E">
              <w:rPr>
                <w:b/>
              </w:rPr>
              <w:t>$5000.00</w:t>
            </w:r>
          </w:p>
        </w:tc>
      </w:tr>
    </w:tbl>
    <w:p w:rsidR="00CA70EC" w:rsidRDefault="00CA70EC" w:rsidP="00CA70EC"/>
    <w:p w:rsidR="00CA70EC" w:rsidRDefault="00750E8F" w:rsidP="00750E8F">
      <w:pPr>
        <w:pStyle w:val="Heading1"/>
      </w:pPr>
      <w:r>
        <w:t>Summary of Results</w:t>
      </w:r>
    </w:p>
    <w:p w:rsidR="00750E8F" w:rsidRDefault="00750E8F" w:rsidP="00750E8F">
      <w:r>
        <w:t xml:space="preserve">The original intention of this project was to produce (1) a website, (2) a set of lessons and (3) a test of the results of using the lessons in class. Specifically, </w:t>
      </w:r>
      <w:proofErr w:type="gramStart"/>
      <w:r w:rsidRPr="00750E8F">
        <w:t>The</w:t>
      </w:r>
      <w:proofErr w:type="gramEnd"/>
      <w:r w:rsidRPr="00750E8F">
        <w:t xml:space="preserve"> intention was to identify two teacher groups, a test group and a control group. The control group would do nothing but report as it normally would. The test group will meet regularly (monthly) as time and budget permit. It quickly became apparent that just building the website and lessons would be a year’s worth of work. </w:t>
      </w:r>
      <w:r>
        <w:t xml:space="preserve">What was observed was the effect that assembling the lessons had on the students. </w:t>
      </w:r>
      <w:r w:rsidR="00CA1DFF">
        <w:t xml:space="preserve">Research continues as the material is applied in classroom and online learning contexts. </w:t>
      </w:r>
      <w:r>
        <w:t xml:space="preserve"> </w:t>
      </w:r>
    </w:p>
    <w:p w:rsidR="00CA1DFF" w:rsidRDefault="00CA1DFF" w:rsidP="00CA1DFF">
      <w:pPr>
        <w:pStyle w:val="Heading1"/>
      </w:pPr>
      <w:r>
        <w:t>Contact</w:t>
      </w:r>
    </w:p>
    <w:p w:rsidR="00CA1DFF" w:rsidRDefault="00CA1DFF" w:rsidP="00CA1DFF">
      <w:pPr>
        <w:rPr>
          <w:sz w:val="20"/>
          <w:szCs w:val="20"/>
        </w:rPr>
      </w:pPr>
      <w:r w:rsidRPr="0051032F">
        <w:rPr>
          <w:sz w:val="20"/>
          <w:szCs w:val="20"/>
        </w:rPr>
        <w:t xml:space="preserve">George Corser, Assistant Professor (CSIS), </w:t>
      </w:r>
      <w:hyperlink r:id="rId9" w:history="1">
        <w:r w:rsidRPr="0051032F">
          <w:rPr>
            <w:rStyle w:val="Hyperlink"/>
            <w:sz w:val="20"/>
            <w:szCs w:val="20"/>
          </w:rPr>
          <w:t>gpcorser@svsu.edu</w:t>
        </w:r>
      </w:hyperlink>
      <w:r w:rsidRPr="0051032F">
        <w:rPr>
          <w:sz w:val="20"/>
          <w:szCs w:val="20"/>
        </w:rPr>
        <w:t>, (989)964-2756</w:t>
      </w:r>
      <w:r>
        <w:rPr>
          <w:sz w:val="20"/>
          <w:szCs w:val="20"/>
        </w:rPr>
        <w:t>.</w:t>
      </w:r>
    </w:p>
    <w:p w:rsidR="00CA1DFF" w:rsidRPr="00750E8F" w:rsidRDefault="00CA1DFF" w:rsidP="00750E8F"/>
    <w:p w:rsidR="00750E8F" w:rsidRPr="0008500E" w:rsidRDefault="00750E8F" w:rsidP="0008500E"/>
    <w:sectPr w:rsidR="00750E8F" w:rsidRPr="0008500E" w:rsidSect="0024132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32A3C"/>
    <w:multiLevelType w:val="hybridMultilevel"/>
    <w:tmpl w:val="E63A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1240D"/>
    <w:multiLevelType w:val="hybridMultilevel"/>
    <w:tmpl w:val="0A08261C"/>
    <w:lvl w:ilvl="0" w:tplc="2C9CD6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503646"/>
    <w:multiLevelType w:val="hybridMultilevel"/>
    <w:tmpl w:val="95C667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D73A58"/>
    <w:multiLevelType w:val="hybridMultilevel"/>
    <w:tmpl w:val="19A89204"/>
    <w:lvl w:ilvl="0" w:tplc="2C9CD6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B69"/>
    <w:rsid w:val="00042445"/>
    <w:rsid w:val="00061B20"/>
    <w:rsid w:val="0008500E"/>
    <w:rsid w:val="0009455E"/>
    <w:rsid w:val="000E73E2"/>
    <w:rsid w:val="001A0054"/>
    <w:rsid w:val="00241325"/>
    <w:rsid w:val="002C0AB9"/>
    <w:rsid w:val="002D5B69"/>
    <w:rsid w:val="002E3E4A"/>
    <w:rsid w:val="004703B9"/>
    <w:rsid w:val="004B5AAE"/>
    <w:rsid w:val="005068ED"/>
    <w:rsid w:val="0051032F"/>
    <w:rsid w:val="0064081E"/>
    <w:rsid w:val="006872E9"/>
    <w:rsid w:val="006A5F60"/>
    <w:rsid w:val="00750E8F"/>
    <w:rsid w:val="007A2BE2"/>
    <w:rsid w:val="007C67F2"/>
    <w:rsid w:val="00826BF5"/>
    <w:rsid w:val="008A15F8"/>
    <w:rsid w:val="008C2F30"/>
    <w:rsid w:val="00981DB4"/>
    <w:rsid w:val="009F0359"/>
    <w:rsid w:val="00B541D0"/>
    <w:rsid w:val="00BE1A6F"/>
    <w:rsid w:val="00BE78D0"/>
    <w:rsid w:val="00C34850"/>
    <w:rsid w:val="00CA1DFF"/>
    <w:rsid w:val="00CA70EC"/>
    <w:rsid w:val="00CD6924"/>
    <w:rsid w:val="00CF76E8"/>
    <w:rsid w:val="00D66641"/>
    <w:rsid w:val="00D95E64"/>
    <w:rsid w:val="00DD7408"/>
    <w:rsid w:val="00EA6DF1"/>
    <w:rsid w:val="00ED4B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604BB8-290A-42D5-ACD2-B868529B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325"/>
  </w:style>
  <w:style w:type="paragraph" w:styleId="Heading1">
    <w:name w:val="heading 1"/>
    <w:basedOn w:val="Normal"/>
    <w:next w:val="Normal"/>
    <w:link w:val="Heading1Char"/>
    <w:uiPriority w:val="9"/>
    <w:qFormat/>
    <w:rsid w:val="00241325"/>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rsid w:val="00241325"/>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rsid w:val="00241325"/>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rsid w:val="00241325"/>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rsid w:val="00241325"/>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rsid w:val="00241325"/>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rsid w:val="00241325"/>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rsid w:val="00241325"/>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rsid w:val="00241325"/>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241325"/>
    <w:rPr>
      <w:b/>
      <w:bCs/>
      <w:caps w:val="0"/>
      <w:smallCaps/>
      <w:spacing w:val="10"/>
    </w:rPr>
  </w:style>
  <w:style w:type="paragraph" w:styleId="Caption">
    <w:name w:val="caption"/>
    <w:basedOn w:val="Normal"/>
    <w:next w:val="Normal"/>
    <w:uiPriority w:val="35"/>
    <w:semiHidden/>
    <w:unhideWhenUsed/>
    <w:qFormat/>
    <w:rsid w:val="00241325"/>
    <w:pPr>
      <w:spacing w:line="240" w:lineRule="auto"/>
    </w:pPr>
    <w:rPr>
      <w:b/>
      <w:bCs/>
      <w:smallCaps/>
      <w:color w:val="595959" w:themeColor="text1" w:themeTint="A6"/>
      <w:spacing w:val="6"/>
    </w:rPr>
  </w:style>
  <w:style w:type="character" w:styleId="Emphasis">
    <w:name w:val="Emphasis"/>
    <w:basedOn w:val="DefaultParagraphFont"/>
    <w:uiPriority w:val="20"/>
    <w:qFormat/>
    <w:rsid w:val="00241325"/>
    <w:rPr>
      <w:i/>
      <w:iCs/>
      <w:color w:val="000000" w:themeColor="text1"/>
    </w:rPr>
  </w:style>
  <w:style w:type="character" w:customStyle="1" w:styleId="Heading1Char">
    <w:name w:val="Heading 1 Char"/>
    <w:basedOn w:val="DefaultParagraphFont"/>
    <w:link w:val="Heading1"/>
    <w:uiPriority w:val="9"/>
    <w:rsid w:val="00241325"/>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sid w:val="00241325"/>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sid w:val="00241325"/>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sid w:val="00241325"/>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sid w:val="00241325"/>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sid w:val="00241325"/>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sid w:val="00241325"/>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sid w:val="00241325"/>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sid w:val="00241325"/>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sid w:val="00241325"/>
    <w:rPr>
      <w:b/>
      <w:bCs/>
      <w:i/>
      <w:iCs/>
      <w:color w:val="auto"/>
    </w:rPr>
  </w:style>
  <w:style w:type="paragraph" w:styleId="IntenseQuote">
    <w:name w:val="Intense Quote"/>
    <w:basedOn w:val="Normal"/>
    <w:next w:val="Normal"/>
    <w:link w:val="IntenseQuoteChar"/>
    <w:uiPriority w:val="30"/>
    <w:qFormat/>
    <w:rsid w:val="00241325"/>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sid w:val="00241325"/>
    <w:rPr>
      <w:color w:val="B01513" w:themeColor="accent1"/>
      <w:sz w:val="28"/>
      <w:szCs w:val="28"/>
    </w:rPr>
  </w:style>
  <w:style w:type="character" w:styleId="IntenseReference">
    <w:name w:val="Intense Reference"/>
    <w:basedOn w:val="DefaultParagraphFont"/>
    <w:uiPriority w:val="32"/>
    <w:qFormat/>
    <w:rsid w:val="00241325"/>
    <w:rPr>
      <w:b/>
      <w:bCs/>
      <w:caps w:val="0"/>
      <w:smallCaps/>
      <w:color w:val="auto"/>
      <w:spacing w:val="5"/>
      <w:u w:val="single"/>
    </w:rPr>
  </w:style>
  <w:style w:type="character" w:styleId="Hyperlink">
    <w:name w:val="Hyperlink"/>
    <w:basedOn w:val="DefaultParagraphFont"/>
    <w:unhideWhenUsed/>
    <w:rsid w:val="00241325"/>
    <w:rPr>
      <w:color w:val="4FB8C1" w:themeColor="text2" w:themeTint="99"/>
      <w:u w:val="single"/>
    </w:rPr>
  </w:style>
  <w:style w:type="character" w:styleId="FollowedHyperlink">
    <w:name w:val="FollowedHyperlink"/>
    <w:basedOn w:val="DefaultParagraphFont"/>
    <w:uiPriority w:val="99"/>
    <w:semiHidden/>
    <w:unhideWhenUsed/>
    <w:rsid w:val="00241325"/>
    <w:rPr>
      <w:color w:val="9DFFCB" w:themeColor="followedHyperlink"/>
      <w:u w:val="single"/>
    </w:rPr>
  </w:style>
  <w:style w:type="paragraph" w:styleId="NoSpacing">
    <w:name w:val="No Spacing"/>
    <w:link w:val="NoSpacingChar"/>
    <w:uiPriority w:val="1"/>
    <w:qFormat/>
    <w:rsid w:val="00241325"/>
    <w:pPr>
      <w:spacing w:after="0" w:line="240" w:lineRule="auto"/>
    </w:pPr>
  </w:style>
  <w:style w:type="character" w:customStyle="1" w:styleId="NoSpacingChar">
    <w:name w:val="No Spacing Char"/>
    <w:basedOn w:val="DefaultParagraphFont"/>
    <w:link w:val="NoSpacing"/>
    <w:uiPriority w:val="1"/>
    <w:rsid w:val="00241325"/>
  </w:style>
  <w:style w:type="paragraph" w:styleId="Quote">
    <w:name w:val="Quote"/>
    <w:basedOn w:val="Normal"/>
    <w:next w:val="Normal"/>
    <w:link w:val="QuoteChar"/>
    <w:uiPriority w:val="29"/>
    <w:qFormat/>
    <w:rsid w:val="00241325"/>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sid w:val="00241325"/>
    <w:rPr>
      <w:rFonts w:asciiTheme="majorHAnsi" w:eastAsiaTheme="majorEastAsia" w:hAnsiTheme="majorHAnsi" w:cstheme="majorBidi"/>
    </w:rPr>
  </w:style>
  <w:style w:type="character" w:styleId="Strong">
    <w:name w:val="Strong"/>
    <w:basedOn w:val="DefaultParagraphFont"/>
    <w:uiPriority w:val="22"/>
    <w:qFormat/>
    <w:rsid w:val="00241325"/>
    <w:rPr>
      <w:b/>
      <w:bCs/>
    </w:rPr>
  </w:style>
  <w:style w:type="paragraph" w:styleId="Subtitle">
    <w:name w:val="Subtitle"/>
    <w:basedOn w:val="Normal"/>
    <w:next w:val="Normal"/>
    <w:link w:val="SubtitleChar"/>
    <w:uiPriority w:val="11"/>
    <w:qFormat/>
    <w:rsid w:val="00241325"/>
    <w:pPr>
      <w:numPr>
        <w:ilvl w:val="1"/>
      </w:numPr>
    </w:pPr>
    <w:rPr>
      <w:sz w:val="28"/>
      <w:szCs w:val="28"/>
    </w:rPr>
  </w:style>
  <w:style w:type="character" w:customStyle="1" w:styleId="SubtitleChar">
    <w:name w:val="Subtitle Char"/>
    <w:basedOn w:val="DefaultParagraphFont"/>
    <w:link w:val="Subtitle"/>
    <w:uiPriority w:val="11"/>
    <w:rsid w:val="00241325"/>
    <w:rPr>
      <w:sz w:val="28"/>
      <w:szCs w:val="28"/>
    </w:rPr>
  </w:style>
  <w:style w:type="character" w:styleId="SubtleEmphasis">
    <w:name w:val="Subtle Emphasis"/>
    <w:basedOn w:val="DefaultParagraphFont"/>
    <w:uiPriority w:val="19"/>
    <w:qFormat/>
    <w:rsid w:val="00241325"/>
    <w:rPr>
      <w:i/>
      <w:iCs/>
      <w:color w:val="595959" w:themeColor="text1" w:themeTint="A6"/>
    </w:rPr>
  </w:style>
  <w:style w:type="character" w:styleId="SubtleReference">
    <w:name w:val="Subtle Reference"/>
    <w:basedOn w:val="DefaultParagraphFont"/>
    <w:uiPriority w:val="31"/>
    <w:qFormat/>
    <w:rsid w:val="00241325"/>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rsid w:val="00241325"/>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sid w:val="00241325"/>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rsid w:val="00241325"/>
    <w:pPr>
      <w:ind w:left="720"/>
      <w:contextualSpacing/>
    </w:pPr>
  </w:style>
  <w:style w:type="table" w:styleId="TableGrid">
    <w:name w:val="Table Grid"/>
    <w:basedOn w:val="TableNormal"/>
    <w:uiPriority w:val="39"/>
    <w:rsid w:val="00BE1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BE1A6F"/>
    <w:pPr>
      <w:spacing w:after="0" w:line="240" w:lineRule="auto"/>
    </w:pPr>
    <w:tblPr>
      <w:tblStyleRowBandSize w:val="1"/>
      <w:tblStyleColBandSize w:val="1"/>
      <w:tblBorders>
        <w:top w:val="single" w:sz="4" w:space="0" w:color="F28E8D" w:themeColor="accent1" w:themeTint="66"/>
        <w:left w:val="single" w:sz="4" w:space="0" w:color="F28E8D" w:themeColor="accent1" w:themeTint="66"/>
        <w:bottom w:val="single" w:sz="4" w:space="0" w:color="F28E8D" w:themeColor="accent1" w:themeTint="66"/>
        <w:right w:val="single" w:sz="4" w:space="0" w:color="F28E8D" w:themeColor="accent1" w:themeTint="66"/>
        <w:insideH w:val="single" w:sz="4" w:space="0" w:color="F28E8D" w:themeColor="accent1" w:themeTint="66"/>
        <w:insideV w:val="single" w:sz="4" w:space="0" w:color="F28E8D" w:themeColor="accent1" w:themeTint="66"/>
      </w:tblBorders>
    </w:tblPr>
    <w:tblStylePr w:type="firstRow">
      <w:rPr>
        <w:b/>
        <w:bCs/>
      </w:rPr>
      <w:tblPr/>
      <w:tcPr>
        <w:tcBorders>
          <w:bottom w:val="single" w:sz="12" w:space="0" w:color="EC5654" w:themeColor="accent1" w:themeTint="99"/>
        </w:tcBorders>
      </w:tcPr>
    </w:tblStylePr>
    <w:tblStylePr w:type="lastRow">
      <w:rPr>
        <w:b/>
        <w:bCs/>
      </w:rPr>
      <w:tblPr/>
      <w:tcPr>
        <w:tcBorders>
          <w:top w:val="double" w:sz="2" w:space="0" w:color="EC5654"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085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0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pcorser@svsu.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pcorser\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0</TotalTime>
  <Pages>3</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P. Corser</dc:creator>
  <cp:lastModifiedBy>George P. Corser</cp:lastModifiedBy>
  <cp:revision>2</cp:revision>
  <dcterms:created xsi:type="dcterms:W3CDTF">2017-05-20T23:12:00Z</dcterms:created>
  <dcterms:modified xsi:type="dcterms:W3CDTF">2017-05-20T23:12:00Z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