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1.png" ContentType="image/png"/>
  <Override PartName="/word/media/rId50.jpg" ContentType="image/jpeg"/>
  <Override PartName="/word/media/rId47.png" ContentType="image/png"/>
  <Override PartName="/word/media/rId65.jpg" ContentType="image/jpeg"/>
  <Override PartName="/word/media/rId68.jpg" ContentType="image/jpeg"/>
  <Override PartName="/word/media/rId7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Crop protocols</w:t>
      </w:r>
    </w:p>
    <w:p>
      <w:pPr>
        <w:pStyle w:val="Author"/>
      </w:pPr>
      <w:r>
        <w:t xml:space="preserve">Peñaloza-Bojacá, G.F.; Villarreal Lab.</w:t>
      </w:r>
    </w:p>
    <w:p>
      <w:pPr>
        <w:pStyle w:val="Date"/>
      </w:pPr>
      <w:r>
        <w:t xml:space="preserve">2025-09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Protocols for the preparation and use of different culture media applied to for</w:t>
      </w:r>
      <w:r>
        <w:t xml:space="preserve"> </w:t>
      </w:r>
      <w:r>
        <w:rPr>
          <w:i/>
          <w:iCs/>
        </w:rPr>
        <w:t xml:space="preserve">Hornworts, Cyanobacteria, Cycas and Zamia Seedlings</w:t>
      </w:r>
      <w:r>
        <w:t xml:space="preserve">. Each section includes media composition, step-by-step preparation, and notes for practical application used in the Villarreal Lab.</w:t>
      </w:r>
    </w:p>
    <w:bookmarkEnd w:id="20"/>
    <w:bookmarkStart w:id="27" w:name="Xc1c1ff83697ef651406cec84519ba9e15723a52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Hatcher medium (AG) for Hornwort solid and liquid culture</w:t>
      </w:r>
    </w:p>
    <w:p>
      <w:pPr>
        <w:pStyle w:val="FirstParagraph"/>
      </w:pPr>
      <w:r>
        <w:t xml:space="preserve">Optimized using Anthoceros agrestis OXFORD, Fay-Wei Li (Andika Gunadi</w:t>
      </w:r>
      <w:r>
        <w:t xml:space="preserve"> </w:t>
      </w:r>
      <w:r>
        <w:t xml:space="preserve">(last updated 7/26/2021))</w:t>
      </w:r>
    </w:p>
    <w:p>
      <w:pPr>
        <w:pStyle w:val="BodyText"/>
      </w:pPr>
      <w:r>
        <w:t xml:space="preserve">See</w:t>
      </w:r>
      <w:r>
        <w:t xml:space="preserve"> </w:t>
      </w:r>
      <w:r>
        <w:rPr>
          <w:i/>
          <w:iCs/>
        </w:rPr>
        <w:t xml:space="preserve">Hatcher, Raymond E.Towards the Establishment of a Pure Culture Collection of Hepaticae, 1965. DOI: 10.2307/3241021</w:t>
      </w:r>
    </w:p>
    <w:bookmarkStart w:id="24" w:name="stock-solution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Stock solutions</w:t>
      </w:r>
    </w:p>
    <w:p>
      <w:pPr>
        <w:pStyle w:val="FirstParagraph"/>
      </w:pPr>
      <w:r>
        <w:rPr>
          <w:b/>
          <w:bCs/>
        </w:rPr>
        <w:t xml:space="preserve">NOTE:</w:t>
      </w:r>
      <w:r>
        <w:t xml:space="preserve"> </w:t>
      </w:r>
      <w:r>
        <w:t xml:space="preserve">Gary Horvath can make Hatcher Nutrient Stocks A, B, and Iron</w:t>
      </w:r>
      <w:r>
        <w:t xml:space="preserve"> </w:t>
      </w:r>
      <w:r>
        <w:t xml:space="preserve">stock. Van Eck lab makes 10mg/ml Hygromycin stock – ask before using.</w:t>
      </w:r>
      <w:r>
        <w:t xml:space="preserve"> </w:t>
      </w:r>
      <w:r>
        <w:t xml:space="preserve">Please make your own filter-sterilized MES buffer (pH 6.5), any</w:t>
      </w:r>
      <w:r>
        <w:t xml:space="preserve"> </w:t>
      </w:r>
      <w:r>
        <w:t xml:space="preserve">filter-sterilized antibiotic stock, and any other stock solution for</w:t>
      </w:r>
      <w:r>
        <w:t xml:space="preserve"> </w:t>
      </w:r>
      <w:r>
        <w:t xml:space="preserve">modification of your Hatcher medium.</w:t>
      </w:r>
    </w:p>
    <w:p>
      <w:pPr>
        <w:pStyle w:val="CaptionedFigure"/>
      </w:pPr>
      <w:r>
        <w:drawing>
          <wp:inline>
            <wp:extent cx="3200400" cy="4720415"/>
            <wp:effectExtent b="0" l="0" r="0" t="0"/>
            <wp:docPr descr="Hatcher Nutrient Stocks" title="" id="22" name="Picture"/>
            <a:graphic>
              <a:graphicData uri="http://schemas.openxmlformats.org/drawingml/2006/picture">
                <pic:pic>
                  <pic:nvPicPr>
                    <pic:cNvPr descr="Figuras/Stock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Hatcher Nutrient Stocks</w:t>
      </w:r>
    </w:p>
    <w:p>
      <w:pPr>
        <w:pStyle w:val="Compact"/>
        <w:numPr>
          <w:ilvl w:val="0"/>
          <w:numId w:val="1001"/>
        </w:numPr>
      </w:pPr>
      <w:r>
        <w:t xml:space="preserve">In our laboratory we have MES (sigma 1317 liquid at 1M)</w:t>
      </w:r>
    </w:p>
    <w:p>
      <w:pPr>
        <w:pStyle w:val="Compact"/>
        <w:numPr>
          <w:ilvl w:val="0"/>
          <w:numId w:val="1001"/>
        </w:numPr>
      </w:pPr>
      <w:r>
        <w:t xml:space="preserve">To dissolve</w:t>
      </w:r>
      <w:r>
        <w:t xml:space="preserve"> </w:t>
      </w:r>
      <w:r>
        <w:rPr>
          <w:b/>
          <w:bCs/>
        </w:rPr>
        <w:t xml:space="preserve">FeC₆H₅O₇ (ferric ammonium citrate)</w:t>
      </w:r>
      <w:r>
        <w:t xml:space="preserve"> </w:t>
      </w:r>
      <w:r>
        <w:t xml:space="preserve">more easily, it is recommended to place the solution on a magnetic stirrer and gently heat while stirring.</w:t>
      </w:r>
    </w:p>
    <w:bookmarkEnd w:id="24"/>
    <w:bookmarkStart w:id="25" w:name="to-make-1-liter-mediu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To make 1 Liter medium</w:t>
      </w:r>
    </w:p>
    <w:p>
      <w:pPr>
        <w:pStyle w:val="TableCaption"/>
      </w:pPr>
      <w:r>
        <w:rPr>
          <w:b/>
          <w:bCs/>
        </w:rPr>
        <w:t xml:space="preserve">Composition of AG Medium (per 1 L)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mposition of AG Medium (per 1 L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Hatcher Stock 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 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Hatcher Stock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Hatcher Iron Stock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Ammonium nitrate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 g (0.4 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Sucrose (optional for faster growth)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g (0.2%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Gelzan (solid medium)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MES buffer (0.1 M MES, pH 6.5)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 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ddH2O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 to 950 ml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Optional Additives and Selection Agents for AG Medium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tional Additives and Selection Agents for AG Medium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Activated Charcoal (Sigma C-3345)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 mg (100 mg/L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mg/ml filtered BA stock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2.25 ml (10 nM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 mg/ml filtered Timentin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ml (300 mg/L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mg/ml filtered Hygromycin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ml (10 mg/L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mM 2-Fluoroadenine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ml (5 µM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Benomyl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 mg/L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Imazalil (in water)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µg/L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Miconazole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Clomitrazole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µg/L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Erythromycin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 mg/L final</w:t>
            </w:r>
          </w:p>
        </w:tc>
      </w:tr>
    </w:tbl>
    <w:p>
      <w:pPr>
        <w:pStyle w:val="BodyText"/>
      </w:pPr>
      <w:r>
        <w:t xml:space="preserve">Store sterilized media in an autoclave at 4°C for up to 4 months. For</w:t>
      </w:r>
      <w:r>
        <w:t xml:space="preserve"> </w:t>
      </w:r>
      <w:r>
        <w:t xml:space="preserve">solid media, keep Petri dishes with the media facing down to prevent</w:t>
      </w:r>
      <w:r>
        <w:t xml:space="preserve"> </w:t>
      </w:r>
      <w:r>
        <w:t xml:space="preserve">liquefaction.</w:t>
      </w:r>
    </w:p>
    <w:p>
      <w:pPr>
        <w:pStyle w:val="BodyText"/>
      </w:pPr>
      <w:r>
        <w:rPr>
          <w:b/>
          <w:bCs/>
        </w:rPr>
        <w:t xml:space="preserve">Selection agents:</w:t>
      </w:r>
      <w:r>
        <w:t xml:space="preserve"> </w:t>
      </w:r>
      <w:r>
        <w:t xml:space="preserve">Hygromycin: Selects for plant tissues expressing</w:t>
      </w:r>
      <w:r>
        <w:t xml:space="preserve"> </w:t>
      </w:r>
      <w:r>
        <w:t xml:space="preserve">HygR gene (hptII) 2-Fluoroadenine: Selects for plant tissues with</w:t>
      </w:r>
      <w:r>
        <w:t xml:space="preserve"> </w:t>
      </w:r>
      <w:r>
        <w:t xml:space="preserve">knocked-out or -down endogenous APT gene</w:t>
      </w:r>
    </w:p>
    <w:p>
      <w:pPr>
        <w:pStyle w:val="BodyText"/>
      </w:pPr>
      <w:r>
        <w:rPr>
          <w:b/>
          <w:bCs/>
        </w:rPr>
        <w:t xml:space="preserve">Antimicrobials:</w:t>
      </w:r>
      <w:r>
        <w:t xml:space="preserve"> </w:t>
      </w:r>
      <w:r>
        <w:t xml:space="preserve">Against general bacterial contamination: Timentin</w:t>
      </w:r>
      <w:r>
        <w:t xml:space="preserve"> </w:t>
      </w:r>
      <w:r>
        <w:t xml:space="preserve">Against general fungal contamination: Benomyl, Imazalil, Miconazole,</w:t>
      </w:r>
      <w:r>
        <w:t xml:space="preserve"> </w:t>
      </w:r>
      <w:r>
        <w:t xml:space="preserve">Clomitrazole Against cyanobacteria: Erythromycin</w:t>
      </w:r>
    </w:p>
    <w:p>
      <w:pPr>
        <w:pStyle w:val="BodyText"/>
      </w:pPr>
      <w:r>
        <w:t xml:space="preserve">In our laboratory, for bacterial control, a mixture of</w:t>
      </w:r>
      <w:r>
        <w:t xml:space="preserve"> </w:t>
      </w:r>
      <w:r>
        <w:rPr>
          <w:i/>
          <w:iCs/>
        </w:rPr>
        <w:t xml:space="preserve">Penicillin G</w:t>
      </w:r>
      <w:r>
        <w:t xml:space="preserve"> </w:t>
      </w:r>
      <w:r>
        <w:t xml:space="preserve">(100 ml k U/L),</w:t>
      </w:r>
      <w:r>
        <w:t xml:space="preserve"> </w:t>
      </w:r>
      <w:r>
        <w:rPr>
          <w:i/>
          <w:iCs/>
        </w:rPr>
        <w:t xml:space="preserve">Tetracycline</w:t>
      </w:r>
      <w:r>
        <w:t xml:space="preserve"> </w:t>
      </w:r>
      <w:r>
        <w:t xml:space="preserve">(10 mg/L), and</w:t>
      </w:r>
      <w:r>
        <w:t xml:space="preserve"> </w:t>
      </w:r>
      <w:r>
        <w:rPr>
          <w:i/>
          <w:iCs/>
        </w:rPr>
        <w:t xml:space="preserve">Streptomycin</w:t>
      </w:r>
      <w:r>
        <w:t xml:space="preserve"> </w:t>
      </w:r>
      <w:r>
        <w:t xml:space="preserve">(72 k U/L)</w:t>
      </w:r>
      <w:r>
        <w:t xml:space="preserve"> </w:t>
      </w:r>
      <w:r>
        <w:t xml:space="preserve">can be used in each 1 L of media.</w:t>
      </w:r>
    </w:p>
    <w:p>
      <w:pPr>
        <w:pStyle w:val="BodyText"/>
      </w:pPr>
      <w:r>
        <w:t xml:space="preserve">For fungal control,</w:t>
      </w:r>
      <w:r>
        <w:t xml:space="preserve"> </w:t>
      </w:r>
      <w:r>
        <w:rPr>
          <w:i/>
          <w:iCs/>
        </w:rPr>
        <w:t xml:space="preserve">Ketaconazole</w:t>
      </w:r>
      <w:r>
        <w:t xml:space="preserve"> </w:t>
      </w:r>
      <w:r>
        <w:t xml:space="preserve">(5 mg/L) or</w:t>
      </w:r>
      <w:r>
        <w:t xml:space="preserve"> </w:t>
      </w:r>
      <w:r>
        <w:rPr>
          <w:i/>
          <w:iCs/>
        </w:rPr>
        <w:t xml:space="preserve">Cycloexamide</w:t>
      </w:r>
      <w:r>
        <w:t xml:space="preserve"> </w:t>
      </w:r>
      <w:r>
        <w:t xml:space="preserve">(50 mg/L)</w:t>
      </w:r>
      <w:r>
        <w:t xml:space="preserve"> </w:t>
      </w:r>
      <w:r>
        <w:t xml:space="preserve">diluted in MDSO can be used in each 1 L of media.</w:t>
      </w:r>
    </w:p>
    <w:bookmarkEnd w:id="25"/>
    <w:bookmarkStart w:id="26" w:name="protocol-for-ag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Protocol for AG</w:t>
      </w:r>
    </w:p>
    <w:p>
      <w:pPr>
        <w:pStyle w:val="Compact"/>
        <w:numPr>
          <w:ilvl w:val="0"/>
          <w:numId w:val="1002"/>
        </w:numPr>
      </w:pPr>
      <w:r>
        <w:t xml:space="preserve">In a beaker, add ~500 ml ddH2O first, then mix components (Stock A+ stock B + Ammonium nitrate + Sucrose + Iron Stock ) in solution using magnetic stirrer.</w:t>
      </w:r>
    </w:p>
    <w:p>
      <w:pPr>
        <w:pStyle w:val="Compact"/>
        <w:numPr>
          <w:ilvl w:val="0"/>
          <w:numId w:val="1002"/>
        </w:numPr>
      </w:pPr>
      <w:r>
        <w:t xml:space="preserve">Add ddH2O to 950 ml total.</w:t>
      </w:r>
    </w:p>
    <w:p>
      <w:pPr>
        <w:pStyle w:val="Compact"/>
        <w:numPr>
          <w:ilvl w:val="0"/>
          <w:numId w:val="1002"/>
        </w:numPr>
      </w:pPr>
      <w:r>
        <w:t xml:space="preserve">While stirring, add KOH using dropper to reach pH 6.5.</w:t>
      </w:r>
    </w:p>
    <w:p>
      <w:pPr>
        <w:pStyle w:val="Compact"/>
        <w:numPr>
          <w:ilvl w:val="0"/>
          <w:numId w:val="1002"/>
        </w:numPr>
      </w:pPr>
      <w:r>
        <w:t xml:space="preserve">Divide the Gelzan into two 1 Liter bottles</w:t>
      </w:r>
      <w:r>
        <w:t xml:space="preserve"> </w:t>
      </w:r>
      <w:r>
        <w:t xml:space="preserve">(for solid medium only).</w:t>
      </w:r>
    </w:p>
    <w:p>
      <w:pPr>
        <w:pStyle w:val="Compact"/>
        <w:numPr>
          <w:ilvl w:val="0"/>
          <w:numId w:val="1002"/>
        </w:numPr>
      </w:pPr>
      <w:r>
        <w:t xml:space="preserve">Add 425 ml of the liquid solution into each bottle, no need to mix.</w:t>
      </w:r>
    </w:p>
    <w:p>
      <w:pPr>
        <w:pStyle w:val="Compact"/>
        <w:numPr>
          <w:ilvl w:val="0"/>
          <w:numId w:val="1002"/>
        </w:numPr>
      </w:pPr>
      <w:r>
        <w:t xml:space="preserve">Loosely cap the bottles, then autoclave for 20 min in liquid</w:t>
      </w:r>
      <w:r>
        <w:t xml:space="preserve"> </w:t>
      </w:r>
      <w:r>
        <w:t xml:space="preserve">setting.</w:t>
      </w:r>
    </w:p>
    <w:p>
      <w:pPr>
        <w:pStyle w:val="Compact"/>
        <w:numPr>
          <w:ilvl w:val="0"/>
          <w:numId w:val="1002"/>
        </w:numPr>
      </w:pPr>
      <w:r>
        <w:t xml:space="preserve">After autoclaving, cool media in water bath, mix occasionally until</w:t>
      </w:r>
      <w:r>
        <w:t xml:space="preserve"> </w:t>
      </w:r>
      <w:r>
        <w:t xml:space="preserve">~55°C.</w:t>
      </w:r>
    </w:p>
    <w:p>
      <w:pPr>
        <w:pStyle w:val="Compact"/>
        <w:numPr>
          <w:ilvl w:val="0"/>
          <w:numId w:val="1002"/>
        </w:numPr>
      </w:pPr>
      <w:r>
        <w:t xml:space="preserve">Add filtered</w:t>
      </w:r>
      <w:r>
        <w:t xml:space="preserve"> </w:t>
      </w:r>
      <w:r>
        <w:rPr>
          <w:b/>
          <w:bCs/>
        </w:rPr>
        <w:t xml:space="preserve">MES buffer</w:t>
      </w:r>
      <w:r>
        <w:t xml:space="preserve"> </w:t>
      </w:r>
      <w:r>
        <w:t xml:space="preserve">(pH 6.5) to 5 mM and BA stock to 10 nM final</w:t>
      </w:r>
      <w:r>
        <w:t xml:space="preserve"> </w:t>
      </w:r>
      <w:r>
        <w:t xml:space="preserve">concentrations, mix well.</w:t>
      </w:r>
    </w:p>
    <w:p>
      <w:pPr>
        <w:pStyle w:val="Compact"/>
        <w:numPr>
          <w:ilvl w:val="0"/>
          <w:numId w:val="1002"/>
        </w:numPr>
      </w:pPr>
      <w:r>
        <w:t xml:space="preserve">Add any other selection agent (s) and antimicrobials as needed. Mix</w:t>
      </w:r>
      <w:r>
        <w:t xml:space="preserve"> </w:t>
      </w:r>
      <w:r>
        <w:t xml:space="preserve">well. For solid media, pour into tall petri dishes at ~35ml per</w:t>
      </w:r>
      <w:r>
        <w:t xml:space="preserve"> </w:t>
      </w:r>
      <w:r>
        <w:t xml:space="preserve">dish. For liquid media, pour ~50ml per sterile 100 ml flask.</w:t>
      </w:r>
    </w:p>
    <w:bookmarkEnd w:id="26"/>
    <w:bookmarkEnd w:id="27"/>
    <w:bookmarkStart w:id="31" w:name="knopii-medium-nakazato-et-al.-199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KnopII medium (Nakazato et al. 1999)</w:t>
      </w:r>
    </w:p>
    <w:p>
      <w:pPr>
        <w:pStyle w:val="FirstParagraph"/>
      </w:pPr>
      <w:r>
        <w:t xml:space="preserve">NAKAZATO T, KADOTA A &amp; WADA M. 1999. Photoinduction of Spore Germination in Marchantia polymorpha L. is Mediated by Photosynthesis. Plant Cell Physiol 40: 1014–1020.</w:t>
      </w:r>
      <w:r>
        <w:t xml:space="preserve"> </w:t>
      </w:r>
      <w:hyperlink r:id="rId28">
        <w:r>
          <w:rPr>
            <w:rStyle w:val="Hyperlink"/>
          </w:rPr>
          <w:t xml:space="preserve">https://academic.oup.com/pcp/article-lookup/doi/10.1093/oxfordjournals.pcp.a029482</w:t>
        </w:r>
      </w:hyperlink>
    </w:p>
    <w:p>
      <w:pPr>
        <w:pStyle w:val="BodyText"/>
      </w:pPr>
      <w:r>
        <w:t xml:space="preserve">Modified protocol for the culture of liverwort and hornwort (FEV/2025)</w:t>
      </w:r>
      <w:r>
        <w:t xml:space="preserve"> </w:t>
      </w:r>
      <w:r>
        <w:t xml:space="preserve">pH is adjusted to 5.5 with KOH before autoclaving. Sucrose and agar can be added</w:t>
      </w:r>
    </w:p>
    <w:p>
      <w:pPr>
        <w:pStyle w:val="TableCaption"/>
      </w:pPr>
      <w:r>
        <w:rPr>
          <w:b/>
          <w:bCs/>
        </w:rPr>
        <w:t xml:space="preserve">Composition of Knop II Medium (per 1 L)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mposition of Knop II Medium (per 1 L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KNO₃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mg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Ca(NO₃)₂·4H₂O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 mg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MgSO₄·7H₂O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mg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KH₂PO₄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 mg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FeCl₃·6H₂O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Sucrose (optional)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g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Agar (solid medium)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g (0.3%)</w:t>
            </w:r>
          </w:p>
        </w:tc>
      </w:tr>
    </w:tbl>
    <w:p>
      <w:pPr>
        <w:pStyle w:val="BodyText"/>
      </w:pPr>
      <w:r>
        <w:rPr>
          <w:b/>
          <w:bCs/>
        </w:rPr>
        <w:t xml:space="preserve">Agar used at 0.5% (Bacto-agar) or 0.3% (Gelzan agar)</w:t>
      </w:r>
    </w:p>
    <w:bookmarkStart w:id="29" w:name="stock-solutions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Stock solutions</w:t>
      </w:r>
    </w:p>
    <w:p>
      <w:pPr>
        <w:pStyle w:val="TableCaption"/>
      </w:pPr>
      <w:r>
        <w:rPr>
          <w:b/>
          <w:bCs/>
        </w:rPr>
        <w:t xml:space="preserve">Knop II Medium Stocks (Dissolve the reagents in 50 ml of deionized water)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Knop II Medium Stocks (Dissolve the reagents in 50 ml of deionized water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KNO₃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3.125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Ca(NO₃)₂·4H₂O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12.5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MgSO₄·7H₂O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3.125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KH₂PO₄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3.125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FeCl₃·6H₂O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 g</w:t>
            </w:r>
          </w:p>
        </w:tc>
      </w:tr>
    </w:tbl>
    <w:p>
      <w:pPr>
        <w:pStyle w:val="BodyText"/>
      </w:pPr>
      <w:r>
        <w:t xml:space="preserve">Add 2 ml of each stock to 1 L of distilled (ddH2O) water</w:t>
      </w:r>
    </w:p>
    <w:p>
      <w:pPr>
        <w:pStyle w:val="TableCaption"/>
      </w:pPr>
      <w:r>
        <w:rPr>
          <w:b/>
          <w:bCs/>
        </w:rPr>
        <w:t xml:space="preserve">Optional Additives and Selection Agents for KnopII Medium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tional Additives and Selection Agents for KnopII Medium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 mg/ml filtered Timentin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ml (300 mg/L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mg/ml filtered Hygromycin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ml (10 mg/L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mM 2-Fluoroadenine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ml (5 µM final)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Benomyl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 mg/L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Imazalil (in water)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µg/L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Miconazole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Clomitrazole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µg/L final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Erythromycin (in DMSO)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 mg/L final</w:t>
            </w:r>
          </w:p>
        </w:tc>
      </w:tr>
    </w:tbl>
    <w:p>
      <w:pPr>
        <w:pStyle w:val="BodyText"/>
      </w:pPr>
      <w:r>
        <w:t xml:space="preserve">Store sterilized media in an autoclave at 4°C for up to 4 months. For</w:t>
      </w:r>
      <w:r>
        <w:t xml:space="preserve"> </w:t>
      </w:r>
      <w:r>
        <w:t xml:space="preserve">solid media, keep Petri dishes with the media facing down to prevent</w:t>
      </w:r>
      <w:r>
        <w:t xml:space="preserve"> </w:t>
      </w:r>
      <w:r>
        <w:t xml:space="preserve">liquefaction.</w:t>
      </w:r>
    </w:p>
    <w:p>
      <w:pPr>
        <w:pStyle w:val="BodyText"/>
      </w:pPr>
      <w:r>
        <w:rPr>
          <w:b/>
          <w:bCs/>
        </w:rPr>
        <w:t xml:space="preserve">Selection agents:</w:t>
      </w:r>
      <w:r>
        <w:t xml:space="preserve"> </w:t>
      </w:r>
      <w:r>
        <w:t xml:space="preserve">- Hygromycin: Selects for plant tissues expressing HygR gene (hptII)</w:t>
      </w:r>
      <w:r>
        <w:t xml:space="preserve"> </w:t>
      </w:r>
      <w:r>
        <w:t xml:space="preserve">- 2-Fluoroadenine: Selects for plant tissues with knocked-out or -down endogenous APT gene</w:t>
      </w:r>
    </w:p>
    <w:p>
      <w:pPr>
        <w:pStyle w:val="BodyText"/>
      </w:pPr>
      <w:r>
        <w:rPr>
          <w:b/>
          <w:bCs/>
        </w:rPr>
        <w:t xml:space="preserve">Antimicrobials:</w:t>
      </w:r>
      <w:r>
        <w:t xml:space="preserve"> </w:t>
      </w:r>
      <w:r>
        <w:t xml:space="preserve">- Against general bacterial contamination: Timentin</w:t>
      </w:r>
      <w:r>
        <w:t xml:space="preserve"> </w:t>
      </w:r>
      <w:r>
        <w:t xml:space="preserve">- Against general fungal contamination: Benomyl, Imazalil, Miconazole, Clomitrazole</w:t>
      </w:r>
      <w:r>
        <w:t xml:space="preserve"> </w:t>
      </w:r>
      <w:r>
        <w:t xml:space="preserve">- Against cyanobacteria: Erythromycin</w:t>
      </w:r>
    </w:p>
    <w:p>
      <w:pPr>
        <w:pStyle w:val="BodyText"/>
      </w:pPr>
      <w:r>
        <w:t xml:space="preserve">In our laboratory, for bacterial control, a mixture of: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Penicillin G</w:t>
      </w:r>
      <w:r>
        <w:t xml:space="preserve"> </w:t>
      </w:r>
      <w:r>
        <w:t xml:space="preserve">(100 ml k U/L);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Tetracycline</w:t>
      </w:r>
      <w:r>
        <w:t xml:space="preserve"> </w:t>
      </w:r>
      <w:r>
        <w:t xml:space="preserve">(10 mg/L);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Streptomycin</w:t>
      </w:r>
      <w:r>
        <w:t xml:space="preserve"> </w:t>
      </w:r>
      <w:r>
        <w:t xml:space="preserve">(72 k U/L)</w:t>
      </w:r>
      <w:r>
        <w:t xml:space="preserve"> </w:t>
      </w:r>
      <w:r>
        <w:t xml:space="preserve">can be used in each 1 L of media.</w:t>
      </w:r>
    </w:p>
    <w:p>
      <w:pPr>
        <w:pStyle w:val="BodyText"/>
      </w:pPr>
      <w:r>
        <w:t xml:space="preserve">For fungal control,</w:t>
      </w:r>
      <w:r>
        <w:t xml:space="preserve"> </w:t>
      </w:r>
      <w:r>
        <w:rPr>
          <w:i/>
          <w:iCs/>
        </w:rPr>
        <w:t xml:space="preserve">Ketaconazole</w:t>
      </w:r>
      <w:r>
        <w:t xml:space="preserve"> </w:t>
      </w:r>
      <w:r>
        <w:t xml:space="preserve">(5 mg/L) or</w:t>
      </w:r>
      <w:r>
        <w:t xml:space="preserve"> </w:t>
      </w:r>
      <w:r>
        <w:rPr>
          <w:i/>
          <w:iCs/>
        </w:rPr>
        <w:t xml:space="preserve">Cycloexamide</w:t>
      </w:r>
      <w:r>
        <w:t xml:space="preserve"> </w:t>
      </w:r>
      <w:r>
        <w:t xml:space="preserve">(50 mg/L)</w:t>
      </w:r>
      <w:r>
        <w:t xml:space="preserve"> </w:t>
      </w:r>
      <w:r>
        <w:t xml:space="preserve">diluted in MDSO can be used in each 1 L of media.</w:t>
      </w:r>
    </w:p>
    <w:p>
      <w:pPr>
        <w:pStyle w:val="Compact"/>
        <w:numPr>
          <w:ilvl w:val="0"/>
          <w:numId w:val="1003"/>
        </w:numPr>
      </w:pPr>
      <w:r>
        <w:t xml:space="preserve">To dissolve</w:t>
      </w:r>
      <w:r>
        <w:t xml:space="preserve"> </w:t>
      </w:r>
      <w:r>
        <w:rPr>
          <w:b/>
          <w:bCs/>
        </w:rPr>
        <w:t xml:space="preserve">FeCl₃·6H₂O</w:t>
      </w:r>
      <w:r>
        <w:t xml:space="preserve"> </w:t>
      </w:r>
      <w:r>
        <w:t xml:space="preserve">more easily, it is recommended to place the solution on a magnetic stirrer and gently heat while stirring.</w:t>
      </w:r>
    </w:p>
    <w:bookmarkEnd w:id="29"/>
    <w:bookmarkStart w:id="30" w:name="protocol-for-knop-ii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Protocol for Knop II</w:t>
      </w:r>
    </w:p>
    <w:p>
      <w:pPr>
        <w:pStyle w:val="Compact"/>
        <w:numPr>
          <w:ilvl w:val="0"/>
          <w:numId w:val="1004"/>
        </w:numPr>
      </w:pPr>
      <w:r>
        <w:t xml:space="preserve">In a beaker, add ~500 ml ddH2O first, then mix components in solution using magnetic stirrer.</w:t>
      </w:r>
    </w:p>
    <w:p>
      <w:pPr>
        <w:pStyle w:val="Compact"/>
        <w:numPr>
          <w:ilvl w:val="0"/>
          <w:numId w:val="1004"/>
        </w:numPr>
      </w:pPr>
      <w:r>
        <w:t xml:space="preserve">Add ddH2O to 1000 ml total.</w:t>
      </w:r>
    </w:p>
    <w:p>
      <w:pPr>
        <w:pStyle w:val="Compact"/>
        <w:numPr>
          <w:ilvl w:val="0"/>
          <w:numId w:val="1004"/>
        </w:numPr>
      </w:pPr>
      <w:r>
        <w:t xml:space="preserve">While stirring, add KOH using dropper to reach pH 5.5.</w:t>
      </w:r>
    </w:p>
    <w:p>
      <w:pPr>
        <w:pStyle w:val="Compact"/>
        <w:numPr>
          <w:ilvl w:val="0"/>
          <w:numId w:val="1004"/>
        </w:numPr>
      </w:pPr>
      <w:r>
        <w:t xml:space="preserve">Divide the agar (example Gelzan agar) into two 1 Liter bottles (for solid medium only).</w:t>
      </w:r>
    </w:p>
    <w:p>
      <w:pPr>
        <w:pStyle w:val="Compact"/>
        <w:numPr>
          <w:ilvl w:val="0"/>
          <w:numId w:val="1004"/>
        </w:numPr>
      </w:pPr>
      <w:r>
        <w:t xml:space="preserve">Add 500 ml of the liquid solution into each bottle, no need to mix.</w:t>
      </w:r>
    </w:p>
    <w:p>
      <w:pPr>
        <w:pStyle w:val="Compact"/>
        <w:numPr>
          <w:ilvl w:val="0"/>
          <w:numId w:val="1004"/>
        </w:numPr>
      </w:pPr>
      <w:r>
        <w:t xml:space="preserve">Loosely cap the bottles, then autoclave for 20 min in liquid setting.</w:t>
      </w:r>
    </w:p>
    <w:p>
      <w:pPr>
        <w:pStyle w:val="Compact"/>
        <w:numPr>
          <w:ilvl w:val="0"/>
          <w:numId w:val="1004"/>
        </w:numPr>
      </w:pPr>
      <w:r>
        <w:t xml:space="preserve">After autoclaving, cool media in water bath, mix occasionally until ~55°C.</w:t>
      </w:r>
    </w:p>
    <w:p>
      <w:pPr>
        <w:pStyle w:val="Compact"/>
        <w:numPr>
          <w:ilvl w:val="0"/>
          <w:numId w:val="1004"/>
        </w:numPr>
      </w:pPr>
      <w:r>
        <w:t xml:space="preserve">Add antimicrobials as needed (After autoclaving). Mix well. For solid media, pour into tall petri dishes at ~35ml per dish.</w:t>
      </w:r>
    </w:p>
    <w:bookmarkEnd w:id="30"/>
    <w:bookmarkEnd w:id="31"/>
    <w:bookmarkStart w:id="35" w:name="cyanobacteria-bg-11-mediu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Cyanobacteria – BG-11 Medium</w:t>
      </w:r>
    </w:p>
    <w:p>
      <w:pPr>
        <w:pStyle w:val="FirstParagraph"/>
      </w:pPr>
      <w:r>
        <w:t xml:space="preserve">BG-11 medium (Rippka 1979) is one of the most widely used media for culturing cyanobacteria.</w:t>
      </w:r>
      <w:r>
        <w:br/>
      </w:r>
      <w:r>
        <w:t xml:space="preserve">It can be prepared as a concentrated stock and diluted for immediate use.</w:t>
      </w:r>
    </w:p>
    <w:bookmarkStart w:id="32" w:name="stock-solutions-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Stock Solutions</w:t>
      </w:r>
    </w:p>
    <w:p>
      <w:pPr>
        <w:pStyle w:val="TableCaption"/>
      </w:pPr>
      <w:r>
        <w:t xml:space="preserve">Standard BG-11 Stock Solutions (quantities per 200 ml ddH₂O)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tandard BG-11 Stock Solutions (quantities per 200 ml ddH₂O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Amount_in_200ml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1: Disodium EDTA (Na2C10H14O8N2·2H2O)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2: Citric acid (C6H8O7·H2O)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3: Sodium nitrate (NaNO3)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4: Dipotassium phosphate (K2HPO4)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6.12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5: Magnesium sulfate (MgSO4·7H2O)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6: Calcium chloride dihydrate (CaCl2·2H2O)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7: Sodium carbonate anhydrous (Na2CO3)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Solution 8: Ferric ammonium citrate (Fe 16.5–18.5%)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g</w:t>
            </w:r>
          </w:p>
        </w:tc>
      </w:tr>
    </w:tbl>
    <w:p>
      <w:pPr>
        <w:pStyle w:val="BodyText"/>
      </w:pPr>
      <w:r>
        <w:rPr>
          <w:i/>
          <w:iCs/>
        </w:rPr>
        <w:t xml:space="preserve">Solution 9: Micronutrients</w:t>
      </w:r>
    </w:p>
    <w:p>
      <w:pPr>
        <w:pStyle w:val="TableCaption"/>
      </w:pPr>
      <w:r>
        <w:t xml:space="preserve">Micronutrients for BG-11 Stock (per 200 ml ddH₂O)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Micronutrients for BG-11 Stock (per 200 ml ddH₂O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Amount_in_200ml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Boric acid (H3BO3)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0.572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Manganese chloride (MnCl2·4H2O)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Zinc sulfate (ZnSO4·7H2O)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0.044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Copper sulfate (CuSO4·5H2O or 4% w/v solution)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 g or 0.4 ml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Sodium molybdate (Na2MoO4·2H2O)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0.078 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Cobalt chloride (CoCl2·6H2O)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0.008 g</w:t>
            </w:r>
          </w:p>
        </w:tc>
      </w:tr>
    </w:tbl>
    <w:bookmarkEnd w:id="32"/>
    <w:bookmarkStart w:id="33" w:name="protocol-for-standard-bg-11-mediu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Protocol for Standard BG-11 Medium</w:t>
      </w:r>
    </w:p>
    <w:p>
      <w:pPr>
        <w:pStyle w:val="FirstParagraph"/>
      </w:pPr>
      <w:r>
        <w:t xml:space="preserve">To prepare</w:t>
      </w:r>
      <w:r>
        <w:t xml:space="preserve"> </w:t>
      </w:r>
      <w:r>
        <w:rPr>
          <w:b/>
          <w:bCs/>
        </w:rPr>
        <w:t xml:space="preserve">1 L of culture medium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t xml:space="preserve">Add</w:t>
      </w:r>
      <w:r>
        <w:t xml:space="preserve"> </w:t>
      </w:r>
      <w:r>
        <w:rPr>
          <w:b/>
          <w:bCs/>
        </w:rPr>
        <w:t xml:space="preserve">1 ml</w:t>
      </w:r>
      <w:r>
        <w:t xml:space="preserve"> </w:t>
      </w:r>
      <w:r>
        <w:t xml:space="preserve">of each stock solution listed above (except solutions 4, 8 and 9) into</w:t>
      </w:r>
      <w:r>
        <w:t xml:space="preserve"> </w:t>
      </w:r>
      <w:r>
        <w:rPr>
          <w:b/>
          <w:bCs/>
        </w:rPr>
        <w:t xml:space="preserve">991 ml</w:t>
      </w:r>
      <w:r>
        <w:t xml:space="preserve"> </w:t>
      </w:r>
      <w:r>
        <w:t xml:space="preserve">of deionized water.</w:t>
      </w:r>
    </w:p>
    <w:p>
      <w:pPr>
        <w:pStyle w:val="Compact"/>
        <w:numPr>
          <w:ilvl w:val="0"/>
          <w:numId w:val="1005"/>
        </w:numPr>
      </w:pPr>
      <w:r>
        <w:t xml:space="preserve">pH should be adjusted to 7.44 - 7.48.</w:t>
      </w:r>
    </w:p>
    <w:p>
      <w:pPr>
        <w:pStyle w:val="Compact"/>
        <w:numPr>
          <w:ilvl w:val="0"/>
          <w:numId w:val="1005"/>
        </w:numPr>
      </w:pPr>
      <w:r>
        <w:t xml:space="preserve">Addition the Gelzan agar (for solid medium only).</w:t>
      </w:r>
    </w:p>
    <w:p>
      <w:pPr>
        <w:pStyle w:val="Compact"/>
        <w:numPr>
          <w:ilvl w:val="0"/>
          <w:numId w:val="1005"/>
        </w:numPr>
      </w:pPr>
      <w:r>
        <w:t xml:space="preserve">Sterilize the medium by autoclaving (20 min in liquid setting)</w:t>
      </w:r>
    </w:p>
    <w:p>
      <w:pPr>
        <w:pStyle w:val="Compact"/>
        <w:numPr>
          <w:ilvl w:val="0"/>
          <w:numId w:val="1005"/>
        </w:numPr>
      </w:pPr>
      <w:r>
        <w:t xml:space="preserve">After autoclaving, cool media in water bath, mix occasionally until ~55°C, and add</w:t>
      </w:r>
      <w:r>
        <w:t xml:space="preserve"> </w:t>
      </w:r>
      <w:r>
        <w:rPr>
          <w:b/>
          <w:bCs/>
        </w:rPr>
        <w:t xml:space="preserve">1 ml</w:t>
      </w:r>
      <w:r>
        <w:t xml:space="preserve"> </w:t>
      </w:r>
      <w:r>
        <w:t xml:space="preserve">of each of the following stock solutions: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Solution 4</w:t>
      </w:r>
      <w:r>
        <w:t xml:space="preserve"> </w:t>
      </w:r>
      <w:r>
        <w:t xml:space="preserve">(Dipotassium phosphate, K₂HPO₄)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Solution 8</w:t>
      </w:r>
      <w:r>
        <w:t xml:space="preserve"> </w:t>
      </w:r>
      <w:r>
        <w:t xml:space="preserve">(Ferric ammonium citrate, Fe 16.5–18.5%)</w:t>
      </w:r>
      <w:r>
        <w:br/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Solution 9</w:t>
      </w:r>
      <w:r>
        <w:t xml:space="preserve"> </w:t>
      </w:r>
      <w:r>
        <w:t xml:space="preserve">(Micronutrients)</w:t>
      </w:r>
      <w:r>
        <w:br/>
      </w:r>
      <w:r>
        <w:t xml:space="preserve">These solutions must be</w:t>
      </w:r>
      <w:r>
        <w:t xml:space="preserve"> </w:t>
      </w:r>
      <w:r>
        <w:rPr>
          <w:b/>
          <w:bCs/>
        </w:rPr>
        <w:t xml:space="preserve">filter-sterilized (0.2 µm)</w:t>
      </w:r>
      <w:r>
        <w:t xml:space="preserve"> </w:t>
      </w:r>
      <w:r>
        <w:t xml:space="preserve">immediately before being added to the autoclaved medium.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Add antimicrobials as needed (After autoclaving). Mix well. For solid media</w:t>
      </w:r>
    </w:p>
    <w:p>
      <w:pPr>
        <w:pStyle w:val="Compact"/>
        <w:numPr>
          <w:ilvl w:val="0"/>
          <w:numId w:val="1005"/>
        </w:numPr>
      </w:pPr>
      <w:r>
        <w:t xml:space="preserve">pour into tall petri dishes at ~35ml per dish.</w:t>
      </w:r>
    </w:p>
    <w:p>
      <w:pPr>
        <w:pStyle w:val="FirstParagraph"/>
      </w:pPr>
      <w:r>
        <w:rPr>
          <w:b/>
          <w:bCs/>
        </w:rPr>
        <w:t xml:space="preserve">Note:</w:t>
      </w:r>
    </w:p>
    <w:p>
      <w:pPr>
        <w:pStyle w:val="Compact"/>
        <w:numPr>
          <w:ilvl w:val="0"/>
          <w:numId w:val="1007"/>
        </w:numPr>
      </w:pPr>
      <w:r>
        <w:t xml:space="preserve">To dissolve</w:t>
      </w:r>
      <w:r>
        <w:t xml:space="preserve"> </w:t>
      </w:r>
      <w:r>
        <w:rPr>
          <w:b/>
          <w:bCs/>
        </w:rPr>
        <w:t xml:space="preserve">ferric ammonium citrate (FeC₆H₅O₇)</w:t>
      </w:r>
      <w:r>
        <w:t xml:space="preserve"> </w:t>
      </w:r>
      <w:r>
        <w:t xml:space="preserve">more easily, it is recommended to place the solution on a magnetic stirrer and gently heat while stirring.</w:t>
      </w:r>
    </w:p>
    <w:p>
      <w:pPr>
        <w:pStyle w:val="Compact"/>
        <w:numPr>
          <w:ilvl w:val="0"/>
          <w:numId w:val="1007"/>
        </w:numPr>
      </w:pPr>
      <w:r>
        <w:t xml:space="preserve">To prepare</w:t>
      </w:r>
      <w:r>
        <w:t xml:space="preserve"> </w:t>
      </w:r>
      <w:r>
        <w:rPr>
          <w:b/>
          <w:bCs/>
        </w:rPr>
        <w:t xml:space="preserve">nitrogen-free BG-11</w:t>
      </w:r>
      <w:r>
        <w:t xml:space="preserve">, simply</w:t>
      </w:r>
      <w:r>
        <w:t xml:space="preserve"> </w:t>
      </w:r>
      <w:r>
        <w:rPr>
          <w:b/>
          <w:bCs/>
        </w:rPr>
        <w:t xml:space="preserve">omit stock solution 3 (NaNO₃)</w:t>
      </w:r>
      <w:r>
        <w:t xml:space="preserve">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For</w:t>
      </w:r>
      <w:r>
        <w:t xml:space="preserve"> </w:t>
      </w:r>
      <w:r>
        <w:rPr>
          <w:b/>
          <w:bCs/>
        </w:rPr>
        <w:t xml:space="preserve">solid media</w:t>
      </w:r>
      <w:r>
        <w:t xml:space="preserve">, add</w:t>
      </w:r>
      <w:r>
        <w:t xml:space="preserve"> </w:t>
      </w:r>
      <w:r>
        <w:rPr>
          <w:b/>
          <w:bCs/>
        </w:rPr>
        <w:t xml:space="preserve">10 g/L of Bacto Agar™</w:t>
      </w:r>
      <w:r>
        <w:t xml:space="preserve"> </w:t>
      </w:r>
      <w:r>
        <w:t xml:space="preserve">to the preparation before autoclaving.</w:t>
      </w:r>
    </w:p>
    <w:p>
      <w:pPr>
        <w:pStyle w:val="Compact"/>
        <w:numPr>
          <w:ilvl w:val="0"/>
          <w:numId w:val="1007"/>
        </w:numPr>
      </w:pPr>
      <w:r>
        <w:t xml:space="preserve">Store Petri dishes with</w:t>
      </w:r>
      <w:r>
        <w:t xml:space="preserve"> </w:t>
      </w:r>
      <w:r>
        <w:rPr>
          <w:b/>
          <w:bCs/>
        </w:rPr>
        <w:t xml:space="preserve">solid medium lid-side up</w:t>
      </w:r>
      <w:r>
        <w:t xml:space="preserve"> </w:t>
      </w:r>
      <w:r>
        <w:t xml:space="preserve">to avoid liquefaction or structural damage to the medium.</w:t>
      </w:r>
    </w:p>
    <w:p>
      <w:pPr>
        <w:pStyle w:val="Compact"/>
        <w:numPr>
          <w:ilvl w:val="0"/>
          <w:numId w:val="1007"/>
        </w:numPr>
      </w:pPr>
      <w:r>
        <w:t xml:space="preserve">Store sterilized media in fridge at 4°C for up to 5 months.</w:t>
      </w:r>
    </w:p>
    <w:p>
      <w:pPr>
        <w:pStyle w:val="FirstParagraph"/>
      </w:pPr>
      <w:r>
        <w:rPr>
          <w:i/>
          <w:iCs/>
        </w:rPr>
        <w:t xml:space="preserve">Antimicrobials:</w:t>
      </w:r>
    </w:p>
    <w:p>
      <w:pPr>
        <w:pStyle w:val="Compact"/>
        <w:numPr>
          <w:ilvl w:val="0"/>
          <w:numId w:val="1008"/>
        </w:numPr>
      </w:pPr>
      <w:r>
        <w:t xml:space="preserve">Against general bacterial contamination: Timentin</w:t>
      </w:r>
    </w:p>
    <w:p>
      <w:pPr>
        <w:pStyle w:val="Compact"/>
        <w:numPr>
          <w:ilvl w:val="0"/>
          <w:numId w:val="1008"/>
        </w:numPr>
      </w:pPr>
      <w:r>
        <w:t xml:space="preserve">Against general fungal contamination: Benomyl, Imazalil, Miconazole, Clomitrazole</w:t>
      </w:r>
    </w:p>
    <w:p>
      <w:pPr>
        <w:pStyle w:val="Compact"/>
        <w:numPr>
          <w:ilvl w:val="0"/>
          <w:numId w:val="1008"/>
        </w:numPr>
      </w:pPr>
      <w:r>
        <w:t xml:space="preserve">Against cyanobacteria: Erythromycin</w:t>
      </w:r>
    </w:p>
    <w:p>
      <w:pPr>
        <w:pStyle w:val="FirstParagraph"/>
      </w:pPr>
      <w:r>
        <w:t xml:space="preserve">In our laboratory, for bacterial control, a mixture of:</w:t>
      </w:r>
    </w:p>
    <w:p>
      <w:pPr>
        <w:pStyle w:val="Compact"/>
        <w:numPr>
          <w:ilvl w:val="0"/>
          <w:numId w:val="1009"/>
        </w:numPr>
      </w:pPr>
      <w:r>
        <w:rPr>
          <w:i/>
          <w:iCs/>
        </w:rPr>
        <w:t xml:space="preserve">Penicillin G</w:t>
      </w:r>
      <w:r>
        <w:t xml:space="preserve"> </w:t>
      </w:r>
      <w:r>
        <w:t xml:space="preserve">(100 ml k U/L);</w:t>
      </w:r>
    </w:p>
    <w:p>
      <w:pPr>
        <w:pStyle w:val="Compact"/>
        <w:numPr>
          <w:ilvl w:val="0"/>
          <w:numId w:val="1009"/>
        </w:numPr>
      </w:pPr>
      <w:r>
        <w:rPr>
          <w:i/>
          <w:iCs/>
        </w:rPr>
        <w:t xml:space="preserve">Tetracycline</w:t>
      </w:r>
      <w:r>
        <w:t xml:space="preserve"> </w:t>
      </w:r>
      <w:r>
        <w:t xml:space="preserve">(10 mg/L);</w:t>
      </w:r>
    </w:p>
    <w:p>
      <w:pPr>
        <w:pStyle w:val="Compact"/>
        <w:numPr>
          <w:ilvl w:val="0"/>
          <w:numId w:val="1009"/>
        </w:numPr>
      </w:pPr>
      <w:r>
        <w:rPr>
          <w:i/>
          <w:iCs/>
        </w:rPr>
        <w:t xml:space="preserve">Streptomycin</w:t>
      </w:r>
      <w:r>
        <w:t xml:space="preserve"> </w:t>
      </w:r>
      <w:r>
        <w:t xml:space="preserve">(72 k U/L)</w:t>
      </w:r>
      <w:r>
        <w:t xml:space="preserve"> </w:t>
      </w:r>
      <w:r>
        <w:t xml:space="preserve">can be used in each 1 L of media.</w:t>
      </w:r>
    </w:p>
    <w:p>
      <w:pPr>
        <w:pStyle w:val="FirstParagraph"/>
      </w:pPr>
      <w:r>
        <w:rPr>
          <w:i/>
          <w:iCs/>
        </w:rPr>
        <w:t xml:space="preserve">fungal control</w:t>
      </w:r>
    </w:p>
    <w:p>
      <w:pPr>
        <w:pStyle w:val="Compact"/>
        <w:numPr>
          <w:ilvl w:val="0"/>
          <w:numId w:val="1010"/>
        </w:numPr>
      </w:pPr>
      <w:r>
        <w:rPr>
          <w:i/>
          <w:iCs/>
        </w:rPr>
        <w:t xml:space="preserve">Ketaconazole</w:t>
      </w:r>
      <w:r>
        <w:t xml:space="preserve"> </w:t>
      </w:r>
      <w:r>
        <w:t xml:space="preserve">(5 mg/L)</w:t>
      </w:r>
      <w:r>
        <w:t xml:space="preserve"> </w:t>
      </w:r>
      <w:r>
        <w:rPr>
          <w:b/>
          <w:bCs/>
        </w:rPr>
        <w:t xml:space="preserve">or</w:t>
      </w:r>
      <w:r>
        <w:t xml:space="preserve"> </w:t>
      </w:r>
      <w:r>
        <w:rPr>
          <w:i/>
          <w:iCs/>
        </w:rPr>
        <w:t xml:space="preserve">Cycloexamide</w:t>
      </w:r>
      <w:r>
        <w:t xml:space="preserve"> </w:t>
      </w:r>
      <w:r>
        <w:t xml:space="preserve">(50 mg/L)</w:t>
      </w:r>
      <w:r>
        <w:t xml:space="preserve"> </w:t>
      </w:r>
      <w:r>
        <w:t xml:space="preserve">diluted in MDSO can be used in each 1 L of media.</w:t>
      </w:r>
    </w:p>
    <w:bookmarkEnd w:id="33"/>
    <w:bookmarkStart w:id="34" w:name="X399615993ff1f41b57c39d7ddadd0050bb0e9e9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Final Mineral Concentrations in BG-11 Medium</w:t>
      </w:r>
    </w:p>
    <w:p>
      <w:pPr>
        <w:pStyle w:val="TableCaption"/>
      </w:pPr>
      <w:r>
        <w:t xml:space="preserve">Final Mineral Concentrations in BG-11 Medium (mg/L)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Final Mineral Concentrations in BG-11 Medium (mg/L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Mineral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Concentration_mgL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Disodium EDTA (Na2C10H14O8N2·2H2O)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Citric acid (C6H8O7·H2O)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Sodium nitrate (NaNO3)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Dipotassium phosphate (K2HPO4)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Magnesium sulfate (MgSO4·7H2O)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Calcium chloride dihydrate (CaCl2·2H2O)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Sodium carbonate anhydrous (Na2CO3)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Ferric ammonium citrate (Fe 16.5–18.5%)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Boric acid (H3BO3)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Manganese chloride (MnCl2·4H2O)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Zinc sulfate (ZnSO4·7H2O)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Copper sulfate (CuSO4·5H2O)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Sodium molybdate (Na2MoO4·2H2O)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Cobalt chloride (CoCl2·6H2O)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bookmarkEnd w:id="34"/>
    <w:bookmarkEnd w:id="35"/>
    <w:bookmarkStart w:id="55" w:name="fertilize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20:20:20 Fertilizer</w:t>
      </w:r>
    </w:p>
    <w:p>
      <w:pPr>
        <w:pStyle w:val="FirstParagraph"/>
      </w:pPr>
      <w:r>
        <w:t xml:space="preserve">The balanced NPK fertilizer</w:t>
      </w:r>
      <w:r>
        <w:t xml:space="preserve"> </w:t>
      </w:r>
      <w:r>
        <w:rPr>
          <w:b/>
          <w:bCs/>
        </w:rPr>
        <w:t xml:space="preserve">20:20:20</w:t>
      </w:r>
      <w:r>
        <w:t xml:space="preserve"> </w:t>
      </w:r>
      <w:r>
        <w:t xml:space="preserve">is commonly used for cultivating</w:t>
      </w:r>
      <w:r>
        <w:t xml:space="preserve"> </w:t>
      </w:r>
      <w:r>
        <w:rPr>
          <w:i/>
          <w:iCs/>
        </w:rPr>
        <w:t xml:space="preserve">Zamia</w:t>
      </w:r>
      <w:r>
        <w:t xml:space="preserve"> </w:t>
      </w:r>
      <w:r>
        <w:t xml:space="preserve">seedlings in growth chambers and greenhouse conditions.</w:t>
      </w:r>
      <w:r>
        <w:br/>
      </w:r>
      <w:r>
        <w:t xml:space="preserve">It provides macronutrients (N, P, K) and essential micronutrients in chelated form.</w:t>
      </w:r>
    </w:p>
    <w:p>
      <w:pPr>
        <w:pStyle w:val="TableCaption"/>
      </w:pPr>
      <w:r>
        <w:t xml:space="preserve">Composition of 20–20–20 Fertilizer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Composition of 20–20–20 Fertilizer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 Nitrogen (N)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Available Phosphoric Acid (P₂O₅)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Soluble Potash (K₂O)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Boron (B)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Chelated Copper (Cu)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Chelated Iron (Fe)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Chelated Manganese (Mn)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Molybdenum (Mo)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Chelated Zinc (Zn)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EDTA (chelating agent)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1.2%</w:t>
            </w:r>
          </w:p>
        </w:tc>
      </w:tr>
    </w:tbl>
    <w:bookmarkStart w:id="36" w:name="protocol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Protocol</w:t>
      </w:r>
    </w:p>
    <w:p>
      <w:pPr>
        <w:pStyle w:val="Compact"/>
        <w:numPr>
          <w:ilvl w:val="0"/>
          <w:numId w:val="1011"/>
        </w:numPr>
      </w:pPr>
      <w:r>
        <w:t xml:space="preserve">Prepare a</w:t>
      </w:r>
      <w:r>
        <w:t xml:space="preserve"> </w:t>
      </w:r>
      <w:r>
        <w:rPr>
          <w:b/>
          <w:bCs/>
        </w:rPr>
        <w:t xml:space="preserve">solution</w:t>
      </w:r>
      <w:r>
        <w:t xml:space="preserve"> </w:t>
      </w:r>
      <w:r>
        <w:t xml:space="preserve">by dissolving</w:t>
      </w:r>
      <w:r>
        <w:t xml:space="preserve"> </w:t>
      </w:r>
      <w:r>
        <w:rPr>
          <w:b/>
          <w:bCs/>
        </w:rPr>
        <w:t xml:space="preserve">200 mg of 20–20–20 fertilizer</w:t>
      </w:r>
      <w:r>
        <w:t xml:space="preserve"> </w:t>
      </w:r>
      <w:r>
        <w:t xml:space="preserve">in</w:t>
      </w:r>
      <w:r>
        <w:t xml:space="preserve"> </w:t>
      </w:r>
      <w:r>
        <w:rPr>
          <w:b/>
          <w:bCs/>
        </w:rPr>
        <w:t xml:space="preserve">1 L of deionized steril water</w:t>
      </w:r>
      <w:r>
        <w:t xml:space="preserve">.</w:t>
      </w:r>
    </w:p>
    <w:p>
      <w:pPr>
        <w:pStyle w:val="Compact"/>
        <w:numPr>
          <w:ilvl w:val="1"/>
          <w:numId w:val="1012"/>
        </w:numPr>
      </w:pPr>
      <w:r>
        <w:t xml:space="preserve">This yields a solution with approximately</w:t>
      </w:r>
      <w:r>
        <w:t xml:space="preserve"> </w:t>
      </w:r>
      <w:r>
        <w:rPr>
          <w:b/>
          <w:bCs/>
        </w:rPr>
        <w:t xml:space="preserve">10 mg of N per 50 ml</w:t>
      </w:r>
      <w:r>
        <w:t xml:space="preserve">.</w:t>
      </w:r>
      <w:r>
        <w:br/>
      </w:r>
    </w:p>
    <w:p>
      <w:pPr>
        <w:pStyle w:val="Compact"/>
        <w:numPr>
          <w:ilvl w:val="0"/>
          <w:numId w:val="1011"/>
        </w:numPr>
      </w:pPr>
      <w:r>
        <w:t xml:space="preserve">Apply to plants as follows:</w:t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Greenhouse:</w:t>
      </w:r>
      <w:r>
        <w:t xml:space="preserve"> </w:t>
      </w:r>
      <w:r>
        <w:t xml:space="preserve">water each plant with 25 ml,</w:t>
      </w:r>
      <w:r>
        <w:t xml:space="preserve"> </w:t>
      </w:r>
      <w:r>
        <w:rPr>
          <w:b/>
          <w:bCs/>
        </w:rPr>
        <w:t xml:space="preserve">twice per week</w:t>
      </w:r>
      <w:r>
        <w:t xml:space="preserve">.</w:t>
      </w:r>
      <w:r>
        <w:br/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Growth chamber:</w:t>
      </w:r>
      <w:r>
        <w:t xml:space="preserve"> </w:t>
      </w:r>
      <w:r>
        <w:t xml:space="preserve">water each plant with 50 ml,</w:t>
      </w:r>
      <w:r>
        <w:t xml:space="preserve"> </w:t>
      </w:r>
      <w:r>
        <w:rPr>
          <w:b/>
          <w:bCs/>
        </w:rPr>
        <w:t xml:space="preserve">once per week</w:t>
      </w:r>
      <w:r>
        <w:t xml:space="preserve">.</w:t>
      </w:r>
      <w:r>
        <w:br/>
      </w:r>
    </w:p>
    <w:p>
      <w:pPr>
        <w:pStyle w:val="Compact"/>
        <w:numPr>
          <w:ilvl w:val="0"/>
          <w:numId w:val="1011"/>
        </w:numPr>
      </w:pPr>
      <w:r>
        <w:t xml:space="preserve">After some weeks of growth, switch fertilization to BG-11 medium for further cultivation.</w:t>
      </w:r>
    </w:p>
    <w:p>
      <w:pPr>
        <w:pStyle w:val="FirstParagraph"/>
      </w:pPr>
      <w:r>
        <w:rPr>
          <w:b/>
          <w:bCs/>
        </w:rPr>
        <w:t xml:space="preserve">Note:</w:t>
      </w:r>
      <w:r>
        <w:t xml:space="preserve"> </w:t>
      </w:r>
      <w:r>
        <w:t xml:space="preserve">Fertilizer solution should be prepared fresh and sterilized after addition to avoid microbial contamination.</w:t>
      </w:r>
    </w:p>
    <w:bookmarkEnd w:id="36"/>
    <w:bookmarkStart w:id="44" w:name="X8517dbad3adcb9c3340c5612d9e45f22faf3999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Laboratory Note – Growth Chamber Fertilizer Use for Stéphanie (Nov 2, 2021)</w:t>
      </w:r>
    </w:p>
    <w:p>
      <w:pPr>
        <w:pStyle w:val="FirstParagraph"/>
      </w:pPr>
      <w:r>
        <w:t xml:space="preserve">This note comes from laboratory files and is included here for reference.</w:t>
      </w:r>
    </w:p>
    <w:bookmarkStart w:id="37" w:name="tasks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Tasks</w:t>
      </w:r>
    </w:p>
    <w:p>
      <w:pPr>
        <w:pStyle w:val="Compact"/>
        <w:numPr>
          <w:ilvl w:val="0"/>
          <w:numId w:val="1014"/>
        </w:numPr>
      </w:pPr>
      <w:r>
        <w:t xml:space="preserve">Water plants 1–2 times per week, prepare the fertilizer (sterilize after adding 1 g of fertilizer [20:20:20]), see below.</w:t>
      </w:r>
      <w:r>
        <w:br/>
      </w:r>
    </w:p>
    <w:p>
      <w:pPr>
        <w:pStyle w:val="Compact"/>
        <w:numPr>
          <w:ilvl w:val="0"/>
          <w:numId w:val="1014"/>
        </w:numPr>
      </w:pPr>
      <w:r>
        <w:t xml:space="preserve">Measure the quantity of leaves and leaflets, and take photos of the plants in the greenhouse (once every 2–3 weeks).</w:t>
      </w:r>
      <w:r>
        <w:br/>
      </w:r>
    </w:p>
    <w:p>
      <w:pPr>
        <w:pStyle w:val="Compact"/>
        <w:numPr>
          <w:ilvl w:val="0"/>
          <w:numId w:val="1014"/>
        </w:numPr>
      </w:pPr>
      <w:r>
        <w:t xml:space="preserve">In 3–4 weeks, begin using BG-11 medium (see Zamia article in</w:t>
      </w:r>
      <w:r>
        <w:t xml:space="preserve"> </w:t>
      </w:r>
      <w:r>
        <w:rPr>
          <w:i/>
          <w:iCs/>
        </w:rPr>
        <w:t xml:space="preserve">Symbiosis</w:t>
      </w:r>
      <w:r>
        <w:t xml:space="preserve">) with seedlings in the growth chamber only.</w:t>
      </w:r>
      <w:r>
        <w:br/>
      </w:r>
      <w:r>
        <w:t xml:space="preserve">The solutions are already prepared; they just need to be mixed. A graduate student will assist you.</w:t>
      </w:r>
      <w:r>
        <w:br/>
      </w:r>
    </w:p>
    <w:p>
      <w:pPr>
        <w:pStyle w:val="Compact"/>
        <w:numPr>
          <w:ilvl w:val="0"/>
          <w:numId w:val="1014"/>
        </w:numPr>
      </w:pPr>
      <w:r>
        <w:t xml:space="preserve">In 4 weeks, germinate new</w:t>
      </w:r>
      <w:r>
        <w:t xml:space="preserve"> </w:t>
      </w:r>
      <w:r>
        <w:rPr>
          <w:i/>
          <w:iCs/>
        </w:rPr>
        <w:t xml:space="preserve">Zamia</w:t>
      </w:r>
      <w:r>
        <w:t xml:space="preserve"> </w:t>
      </w:r>
      <w:r>
        <w:t xml:space="preserve">seeds (a different species) in sterile vermiculite/sand. A graduate student will assist you.</w:t>
      </w:r>
      <w:r>
        <w:br/>
      </w:r>
    </w:p>
    <w:p>
      <w:pPr>
        <w:pStyle w:val="Compact"/>
        <w:numPr>
          <w:ilvl w:val="0"/>
          <w:numId w:val="1014"/>
        </w:numPr>
      </w:pPr>
      <w:r>
        <w:t xml:space="preserve">In 6 weeks, transfer the seedlings, check morphology, presence of coralloid roots, and preserve cyanobacteria for metagenomic analyses. A graduate student will assist you.</w:t>
      </w:r>
    </w:p>
    <w:bookmarkEnd w:id="37"/>
    <w:bookmarkStart w:id="38" w:name="student-message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Student Message</w:t>
      </w:r>
    </w:p>
    <w:p>
      <w:pPr>
        <w:pStyle w:val="FirstParagraph"/>
      </w:pPr>
      <w:r>
        <w:t xml:space="preserve">The important content is in the folder</w:t>
      </w:r>
      <w:r>
        <w:t xml:space="preserve"> </w:t>
      </w:r>
      <w:r>
        <w:rPr>
          <w:b/>
          <w:bCs/>
        </w:rPr>
        <w:t xml:space="preserve">“photo leaf area”</w:t>
      </w:r>
      <w:r>
        <w:t xml:space="preserve">, where weekly photos of leaf area were taken.</w:t>
      </w:r>
      <w:r>
        <w:br/>
      </w:r>
      <w:r>
        <w:t xml:space="preserve">Leaf surface can be measured using ImageJ.</w:t>
      </w:r>
      <w:r>
        <w:br/>
      </w:r>
      <w:r>
        <w:t xml:space="preserve">There is also an Excel file</w:t>
      </w:r>
      <w:r>
        <w:t xml:space="preserve"> </w:t>
      </w:r>
      <w:r>
        <w:rPr>
          <w:b/>
          <w:bCs/>
        </w:rPr>
        <w:t xml:space="preserve">“Feuille de données serre”</w:t>
      </w:r>
      <w:r>
        <w:t xml:space="preserve"> </w:t>
      </w:r>
      <w:r>
        <w:t xml:space="preserve">with height and leaf counts.</w:t>
      </w:r>
      <w:r>
        <w:br/>
      </w:r>
      <w:r>
        <w:t xml:space="preserve">For methods, refer to the research proposal. For fertilization details, see the document</w:t>
      </w:r>
      <w:r>
        <w:t xml:space="preserve"> </w:t>
      </w:r>
      <w:r>
        <w:rPr>
          <w:b/>
          <w:bCs/>
        </w:rPr>
        <w:t xml:space="preserve">“Arrosage des plantes”</w:t>
      </w:r>
      <w:r>
        <w:t xml:space="preserve">.</w:t>
      </w:r>
    </w:p>
    <w:bookmarkEnd w:id="38"/>
    <w:bookmarkStart w:id="39" w:name="important-files-in-the-folder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Important Files in the Folder</w:t>
      </w:r>
    </w:p>
    <w:p>
      <w:pPr>
        <w:pStyle w:val="Compact"/>
        <w:numPr>
          <w:ilvl w:val="0"/>
          <w:numId w:val="1015"/>
        </w:numPr>
      </w:pPr>
      <w:r>
        <w:t xml:space="preserve">Informations serre</w:t>
      </w:r>
      <w:r>
        <w:br/>
      </w:r>
    </w:p>
    <w:p>
      <w:pPr>
        <w:pStyle w:val="Compact"/>
        <w:numPr>
          <w:ilvl w:val="0"/>
          <w:numId w:val="1015"/>
        </w:numPr>
      </w:pPr>
      <w:r>
        <w:t xml:space="preserve">Template feuille de données</w:t>
      </w:r>
      <w:r>
        <w:br/>
      </w:r>
    </w:p>
    <w:p>
      <w:pPr>
        <w:pStyle w:val="Compact"/>
        <w:numPr>
          <w:ilvl w:val="0"/>
          <w:numId w:val="1015"/>
        </w:numPr>
      </w:pPr>
      <w:r>
        <w:t xml:space="preserve">Feuille de données – serres</w:t>
      </w:r>
      <w:r>
        <w:br/>
      </w:r>
    </w:p>
    <w:p>
      <w:pPr>
        <w:pStyle w:val="Compact"/>
        <w:numPr>
          <w:ilvl w:val="0"/>
          <w:numId w:val="1015"/>
        </w:numPr>
      </w:pPr>
      <w:r>
        <w:t xml:space="preserve">Photo leaf area</w:t>
      </w:r>
      <w:r>
        <w:br/>
      </w:r>
    </w:p>
    <w:p>
      <w:pPr>
        <w:pStyle w:val="Compact"/>
        <w:numPr>
          <w:ilvl w:val="0"/>
          <w:numId w:val="1015"/>
        </w:numPr>
      </w:pPr>
      <w:r>
        <w:t xml:space="preserve">Culture BG-11 cyanobacteries</w:t>
      </w:r>
    </w:p>
    <w:bookmarkEnd w:id="39"/>
    <w:bookmarkStart w:id="43" w:name="watering-schedule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Watering Schedule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Greenhouse:</w:t>
      </w:r>
      <w:r>
        <w:t xml:space="preserve"> </w:t>
      </w:r>
      <w:r>
        <w:t xml:space="preserve">25 ml/plant, twice per week.</w:t>
      </w:r>
      <w:r>
        <w:br/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Growth chamber:</w:t>
      </w:r>
      <w:r>
        <w:t xml:space="preserve"> </w:t>
      </w:r>
      <w:r>
        <w:t xml:space="preserve">50 ml/plant, once per week with fertilizer (switch later to BG-11).</w:t>
      </w:r>
    </w:p>
    <w:p>
      <w:pPr>
        <w:pStyle w:val="CaptionedFigure"/>
      </w:pPr>
      <w:r>
        <w:drawing>
          <wp:inline>
            <wp:extent cx="3733800" cy="4812271"/>
            <wp:effectExtent b="0" l="0" r="0" t="0"/>
            <wp:docPr descr="Laboratory note on fertilizer 20-20-20" title="" id="41" name="Picture"/>
            <a:graphic>
              <a:graphicData uri="http://schemas.openxmlformats.org/drawingml/2006/picture">
                <pic:pic>
                  <pic:nvPicPr>
                    <pic:cNvPr descr="Figuras/20202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Laboratory note on fertilizer 20-20-20</w:t>
      </w:r>
    </w:p>
    <w:bookmarkEnd w:id="43"/>
    <w:bookmarkEnd w:id="44"/>
    <w:bookmarkStart w:id="54" w:name="Xb85237cba5267d968af3a4748cb0761605e8f56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Laboratory Note – Watering of</w:t>
      </w:r>
      <w:r>
        <w:t xml:space="preserve"> </w:t>
      </w:r>
      <w:r>
        <w:rPr>
          <w:i/>
          <w:iCs/>
        </w:rPr>
        <w:t xml:space="preserve">Zamia furfuracea</w:t>
      </w:r>
      <w:r>
        <w:t xml:space="preserve"> </w:t>
      </w:r>
      <w:r>
        <w:t xml:space="preserve">(June 21, 2021)</w:t>
      </w:r>
    </w:p>
    <w:p>
      <w:pPr>
        <w:pStyle w:val="FirstParagraph"/>
      </w:pPr>
      <w:r>
        <w:t xml:space="preserve">This note is preserved from internal lab instructions. It is</w:t>
      </w:r>
      <w:r>
        <w:t xml:space="preserve"> </w:t>
      </w:r>
      <w:r>
        <w:rPr>
          <w:b/>
          <w:bCs/>
        </w:rPr>
        <w:t xml:space="preserve">not part of the standardized protocol</w:t>
      </w:r>
      <w:r>
        <w:t xml:space="preserve">, but documents how watering and fertilization were carried out in the greenhouse.</w:t>
      </w:r>
    </w:p>
    <w:bookmarkStart w:id="45" w:name="arrosage-des-plants-de-zamia-furfuracea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Arrosage des plants de</w:t>
      </w:r>
      <w:r>
        <w:t xml:space="preserve"> </w:t>
      </w:r>
      <w:r>
        <w:rPr>
          <w:i/>
          <w:iCs/>
        </w:rPr>
        <w:t xml:space="preserve">Zamia furfuracea</w:t>
      </w:r>
    </w:p>
    <w:p>
      <w:pPr>
        <w:pStyle w:val="Compact"/>
        <w:numPr>
          <w:ilvl w:val="0"/>
          <w:numId w:val="1017"/>
        </w:numPr>
      </w:pPr>
      <w:r>
        <w:t xml:space="preserve">Fill</w:t>
      </w:r>
      <w:r>
        <w:t xml:space="preserve"> </w:t>
      </w:r>
      <w:r>
        <w:rPr>
          <w:b/>
          <w:bCs/>
        </w:rPr>
        <w:t xml:space="preserve">10 bottles</w:t>
      </w:r>
      <w:r>
        <w:t xml:space="preserve"> </w:t>
      </w:r>
      <w:r>
        <w:t xml:space="preserve">with tap water (not distilled water) up to 900 ml.</w:t>
      </w:r>
      <w:r>
        <w:br/>
      </w:r>
      <w:r>
        <w:rPr>
          <w:i/>
          <w:iCs/>
        </w:rPr>
        <w:t xml:space="preserve">Bottles are stored in lab 2211 next to the hood.</w:t>
      </w:r>
      <w:r>
        <w:br/>
      </w:r>
    </w:p>
    <w:p>
      <w:pPr>
        <w:pStyle w:val="Compact"/>
        <w:numPr>
          <w:ilvl w:val="0"/>
          <w:numId w:val="1017"/>
        </w:numPr>
      </w:pPr>
      <w:r>
        <w:t xml:space="preserve">Autoclave the bottles (liquid cycle, 20 minutes).</w:t>
      </w:r>
    </w:p>
    <w:p>
      <w:pPr>
        <w:pStyle w:val="Compact"/>
        <w:numPr>
          <w:ilvl w:val="1"/>
          <w:numId w:val="1018"/>
        </w:numPr>
      </w:pPr>
      <w:r>
        <w:t xml:space="preserve">Preferably autoclave in the morning or the day before to allow more cooling time.</w:t>
      </w:r>
      <w:r>
        <w:br/>
      </w:r>
    </w:p>
    <w:p>
      <w:pPr>
        <w:pStyle w:val="Compact"/>
        <w:numPr>
          <w:ilvl w:val="1"/>
          <w:numId w:val="1018"/>
        </w:numPr>
      </w:pPr>
      <w:r>
        <w:t xml:space="preserve">It is also recommended to use the autoclave in the basement, since the sterilization service slows down during summer.</w:t>
      </w:r>
      <w:r>
        <w:br/>
      </w:r>
    </w:p>
    <w:p>
      <w:pPr>
        <w:pStyle w:val="Compact"/>
        <w:numPr>
          <w:ilvl w:val="0"/>
          <w:numId w:val="1017"/>
        </w:numPr>
      </w:pPr>
      <w:r>
        <w:t xml:space="preserve">Water the plants.</w:t>
      </w:r>
    </w:p>
    <w:bookmarkEnd w:id="45"/>
    <w:bookmarkStart w:id="46" w:name="fertilizer-addition-monday-june-21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Fertilizer addition (Monday, June 21)</w:t>
      </w:r>
    </w:p>
    <w:p>
      <w:pPr>
        <w:pStyle w:val="Compact"/>
        <w:numPr>
          <w:ilvl w:val="0"/>
          <w:numId w:val="1019"/>
        </w:numPr>
      </w:pPr>
      <w:r>
        <w:t xml:space="preserve">Fertilizer used:</w:t>
      </w:r>
      <w:r>
        <w:t xml:space="preserve"> </w:t>
      </w:r>
      <w:r>
        <w:rPr>
          <w:b/>
          <w:bCs/>
        </w:rPr>
        <w:t xml:space="preserve">20–20–20</w:t>
      </w:r>
      <w:r>
        <w:t xml:space="preserve"> </w:t>
      </w:r>
      <w:r>
        <w:t xml:space="preserve">(see storage location below).</w:t>
      </w:r>
      <w:r>
        <w:br/>
      </w:r>
    </w:p>
    <w:p>
      <w:pPr>
        <w:pStyle w:val="Compact"/>
        <w:numPr>
          <w:ilvl w:val="0"/>
          <w:numId w:val="1019"/>
        </w:numPr>
      </w:pPr>
      <w:r>
        <w:t xml:space="preserve">Add</w:t>
      </w:r>
      <w:r>
        <w:t xml:space="preserve"> </w:t>
      </w:r>
      <w:r>
        <w:rPr>
          <w:b/>
          <w:bCs/>
        </w:rPr>
        <w:t xml:space="preserve">0.5 g fertilizer per bottle</w:t>
      </w:r>
      <w:r>
        <w:t xml:space="preserve"> </w:t>
      </w:r>
      <w:r>
        <w:t xml:space="preserve">using the balance.</w:t>
      </w:r>
    </w:p>
    <w:p>
      <w:pPr>
        <w:pStyle w:val="Compact"/>
        <w:numPr>
          <w:ilvl w:val="1"/>
          <w:numId w:val="1020"/>
        </w:numPr>
      </w:pPr>
      <w:r>
        <w:t xml:space="preserve">It is advisable to bring a small spoon from the lab to measure the fertilizer.</w:t>
      </w:r>
    </w:p>
    <w:bookmarkEnd w:id="46"/>
    <w:bookmarkStart w:id="53" w:name="important-information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Important information</w:t>
      </w:r>
    </w:p>
    <w:p>
      <w:pPr>
        <w:pStyle w:val="Compact"/>
        <w:numPr>
          <w:ilvl w:val="0"/>
          <w:numId w:val="1021"/>
        </w:numPr>
      </w:pPr>
      <w:r>
        <w:t xml:space="preserve">Plants must be watered</w:t>
      </w:r>
      <w:r>
        <w:t xml:space="preserve"> </w:t>
      </w:r>
      <w:r>
        <w:rPr>
          <w:b/>
          <w:bCs/>
        </w:rPr>
        <w:t xml:space="preserve">on Mondays and Thursdays</w:t>
      </w:r>
      <w:r>
        <w:t xml:space="preserve">.</w:t>
      </w:r>
      <w:r>
        <w:br/>
      </w:r>
    </w:p>
    <w:p>
      <w:pPr>
        <w:pStyle w:val="Compact"/>
        <w:numPr>
          <w:ilvl w:val="0"/>
          <w:numId w:val="1021"/>
        </w:numPr>
      </w:pPr>
      <w:r>
        <w:t xml:space="preserve">The greenhouse doors are locked:</w:t>
      </w:r>
    </w:p>
    <w:p>
      <w:pPr>
        <w:pStyle w:val="Compact"/>
        <w:numPr>
          <w:ilvl w:val="1"/>
          <w:numId w:val="1022"/>
        </w:numPr>
      </w:pPr>
      <w:r>
        <w:t xml:space="preserve">The</w:t>
      </w:r>
      <w:r>
        <w:t xml:space="preserve"> </w:t>
      </w:r>
      <w:r>
        <w:rPr>
          <w:b/>
          <w:bCs/>
        </w:rPr>
        <w:t xml:space="preserve">first door</w:t>
      </w:r>
      <w:r>
        <w:t xml:space="preserve"> </w:t>
      </w:r>
      <w:r>
        <w:t xml:space="preserve">requires a code:</w:t>
      </w:r>
      <w:r>
        <w:t xml:space="preserve"> </w:t>
      </w:r>
      <w:r>
        <w:rPr>
          <w:rStyle w:val="VerbatimChar"/>
        </w:rPr>
        <w:t xml:space="preserve">225323</w:t>
      </w:r>
      <w:r>
        <w:t xml:space="preserve">Check with Juan Carlos Villarreal.</w:t>
      </w:r>
    </w:p>
    <w:p>
      <w:pPr>
        <w:pStyle w:val="FirstParagraph"/>
      </w:pPr>
      <w:r>
        <w:drawing>
          <wp:inline>
            <wp:extent cx="2560320" cy="3244761"/>
            <wp:effectExtent b="0" l="0" r="0" t="0"/>
            <wp:docPr descr="Laboratory Note – Fertilizer preparation. A: Sala Forestal. B: Stock 20-20-20 (Lab 2211)." title="" id="48" name="Picture"/>
            <a:graphic>
              <a:graphicData uri="http://schemas.openxmlformats.org/drawingml/2006/picture">
                <pic:pic>
                  <pic:nvPicPr>
                    <pic:cNvPr descr="Figuras/fertilizanteA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24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560320" cy="4553895"/>
            <wp:effectExtent b="0" l="0" r="0" t="0"/>
            <wp:docPr descr="Laboratory Note – Fertilizer preparation. A: Sala Forestal. B: Stock 20-20-20 (Lab 2211)." title="" id="51" name="Picture"/>
            <a:graphic>
              <a:graphicData uri="http://schemas.openxmlformats.org/drawingml/2006/picture">
                <pic:pic>
                  <pic:nvPicPr>
                    <pic:cNvPr descr="Figuras/fertilizante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55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End w:id="55"/>
    <w:bookmarkStart w:id="56" w:name="seed-sterilization-zamia-and-cycas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Seed Sterilization – Zamia and Cycas</w:t>
      </w:r>
    </w:p>
    <w:p>
      <w:pPr>
        <w:numPr>
          <w:ilvl w:val="0"/>
          <w:numId w:val="1023"/>
        </w:numPr>
      </w:pPr>
      <w:r>
        <w:t xml:space="preserve">Remove the seed coat (testa) carefully with a scalpel or razor blade.</w:t>
      </w:r>
    </w:p>
    <w:p>
      <w:pPr>
        <w:pStyle w:val="Compact"/>
        <w:numPr>
          <w:ilvl w:val="1"/>
          <w:numId w:val="1024"/>
        </w:numPr>
      </w:pPr>
      <w:r>
        <w:t xml:space="preserve">Avoid using a very sharp or thin blade that could damage the endosperm or embryo.</w:t>
      </w:r>
      <w:r>
        <w:br/>
      </w:r>
    </w:p>
    <w:p>
      <w:pPr>
        <w:pStyle w:val="Compact"/>
        <w:numPr>
          <w:ilvl w:val="1"/>
          <w:numId w:val="1024"/>
        </w:numPr>
      </w:pPr>
      <w:r>
        <w:t xml:space="preserve">For seedlings, first wash vigorously with tap water to remove all soil.</w:t>
      </w:r>
    </w:p>
    <w:p>
      <w:pPr>
        <w:numPr>
          <w:ilvl w:val="0"/>
          <w:numId w:val="1023"/>
        </w:numPr>
      </w:pPr>
      <w:r>
        <w:t xml:space="preserve">Expose the seeds to UV light for</w:t>
      </w:r>
      <w:r>
        <w:t xml:space="preserve"> </w:t>
      </w:r>
      <w:r>
        <w:rPr>
          <w:b/>
          <w:bCs/>
        </w:rPr>
        <w:t xml:space="preserve">30 minutes</w:t>
      </w:r>
      <w:r>
        <w:t xml:space="preserve"> </w:t>
      </w:r>
      <w:r>
        <w:t xml:space="preserve">to reduce contamination.</w:t>
      </w:r>
    </w:p>
    <w:p>
      <w:pPr>
        <w:numPr>
          <w:ilvl w:val="0"/>
          <w:numId w:val="1023"/>
        </w:numPr>
      </w:pPr>
      <w:r>
        <w:t xml:space="preserve">Prepare the disinfection solutions: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Fungicide solution:</w:t>
      </w:r>
      <w:r>
        <w:t xml:space="preserve"> </w:t>
      </w:r>
      <w:r>
        <w:t xml:space="preserve">300 ml deionized water + 0.36 g fungicide.</w:t>
      </w:r>
      <w:r>
        <w:br/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Alcohol 97%</w:t>
      </w:r>
      <w:r>
        <w:t xml:space="preserve"> </w:t>
      </w:r>
      <w:r>
        <w:t xml:space="preserve">(fresh).</w:t>
      </w:r>
      <w:r>
        <w:br/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Alcohol 70%</w:t>
      </w:r>
      <w:r>
        <w:t xml:space="preserve"> </w:t>
      </w:r>
      <w:r>
        <w:t xml:space="preserve">(fresh).</w:t>
      </w:r>
      <w:r>
        <w:br/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Sterile distilled water</w:t>
      </w:r>
      <w:r>
        <w:t xml:space="preserve"> </w:t>
      </w:r>
      <w:r>
        <w:t xml:space="preserve">for rinsing.</w:t>
      </w:r>
    </w:p>
    <w:p>
      <w:pPr>
        <w:numPr>
          <w:ilvl w:val="0"/>
          <w:numId w:val="1023"/>
        </w:numPr>
      </w:pPr>
      <w:r>
        <w:t xml:space="preserve">Sequential disinfection (one seed at a time using sterile forceps):</w:t>
      </w:r>
    </w:p>
    <w:p>
      <w:pPr>
        <w:pStyle w:val="Compact"/>
        <w:numPr>
          <w:ilvl w:val="1"/>
          <w:numId w:val="1026"/>
        </w:numPr>
      </w:pPr>
      <w:r>
        <w:t xml:space="preserve">Dip in</w:t>
      </w:r>
      <w:r>
        <w:t xml:space="preserve"> </w:t>
      </w:r>
      <w:r>
        <w:rPr>
          <w:b/>
          <w:bCs/>
        </w:rPr>
        <w:t xml:space="preserve">97% ethanol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30 seconds</w:t>
      </w:r>
      <w:r>
        <w:t xml:space="preserve"> </w:t>
      </w:r>
      <w:r>
        <w:t xml:space="preserve">(with gentle agitation).</w:t>
      </w:r>
      <w:r>
        <w:br/>
      </w:r>
    </w:p>
    <w:p>
      <w:pPr>
        <w:pStyle w:val="Compact"/>
        <w:numPr>
          <w:ilvl w:val="1"/>
          <w:numId w:val="1026"/>
        </w:numPr>
      </w:pPr>
      <w:r>
        <w:t xml:space="preserve">Transfer to</w:t>
      </w:r>
      <w:r>
        <w:t xml:space="preserve"> </w:t>
      </w:r>
      <w:r>
        <w:rPr>
          <w:b/>
          <w:bCs/>
        </w:rPr>
        <w:t xml:space="preserve">70% ethanol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1 minute</w:t>
      </w:r>
      <w:r>
        <w:t xml:space="preserve"> </w:t>
      </w:r>
      <w:r>
        <w:t xml:space="preserve">(agitate gently).</w:t>
      </w:r>
    </w:p>
    <w:p>
      <w:pPr>
        <w:pStyle w:val="Compact"/>
        <w:numPr>
          <w:ilvl w:val="1"/>
          <w:numId w:val="1026"/>
        </w:numPr>
      </w:pPr>
      <w:r>
        <w:t xml:space="preserve">Transfer to sterile distilled water and rinse thoroughly.</w:t>
      </w:r>
      <w:r>
        <w:br/>
      </w:r>
    </w:p>
    <w:p>
      <w:pPr>
        <w:pStyle w:val="Compact"/>
        <w:numPr>
          <w:ilvl w:val="1"/>
          <w:numId w:val="1026"/>
        </w:numPr>
      </w:pPr>
      <w:r>
        <w:t xml:space="preserve">Transfer to</w:t>
      </w:r>
      <w:r>
        <w:t xml:space="preserve"> </w:t>
      </w:r>
      <w:r>
        <w:rPr>
          <w:b/>
          <w:bCs/>
        </w:rPr>
        <w:t xml:space="preserve">Fungicide solution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3 minute</w:t>
      </w:r>
      <w:r>
        <w:t xml:space="preserve"> </w:t>
      </w:r>
      <w:r>
        <w:t xml:space="preserve">(agitate gently).</w:t>
      </w:r>
      <w:r>
        <w:br/>
      </w:r>
    </w:p>
    <w:p>
      <w:pPr>
        <w:pStyle w:val="Compact"/>
        <w:numPr>
          <w:ilvl w:val="1"/>
          <w:numId w:val="1026"/>
        </w:numPr>
      </w:pPr>
      <w:r>
        <w:t xml:space="preserve">Place seeds on sterile paper towel to dry briefly.</w:t>
      </w:r>
    </w:p>
    <w:p>
      <w:pPr>
        <w:numPr>
          <w:ilvl w:val="0"/>
          <w:numId w:val="1023"/>
        </w:numPr>
      </w:pPr>
      <w:r>
        <w:t xml:space="preserve">After drying, transfer seeds to prepared sterile containers with sterile perlite/vermiculite/sand or directly to culture medium, depending on experimental design.</w:t>
      </w:r>
    </w:p>
    <w:p>
      <w:pPr>
        <w:pStyle w:val="FirstParagraph"/>
      </w:pPr>
      <w:r>
        <w:rPr>
          <w:b/>
          <w:bCs/>
        </w:rPr>
        <w:t xml:space="preserve">Laboratory Note</w:t>
      </w:r>
      <w:r>
        <w:t xml:space="preserve"> </w:t>
      </w:r>
      <w:r>
        <w:t xml:space="preserve">– Additional Seed Cleaning Details</w:t>
      </w:r>
    </w:p>
    <w:p>
      <w:pPr>
        <w:pStyle w:val="Compact"/>
        <w:numPr>
          <w:ilvl w:val="0"/>
          <w:numId w:val="1027"/>
        </w:numPr>
      </w:pPr>
      <w:r>
        <w:t xml:space="preserve">Each seed was manipulated individually with large sterile forceps.</w:t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After the ethanol washes, seeds were transferred through a series of beakers containing alcohols and finally fungicide.</w:t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When all seeds had been processed, they were placed together in the fungicide solution and shaken vigorously for</w:t>
      </w:r>
      <w:r>
        <w:t xml:space="preserve"> </w:t>
      </w:r>
      <w:r>
        <w:rPr>
          <w:b/>
          <w:bCs/>
        </w:rPr>
        <w:t xml:space="preserve">3 minutes</w:t>
      </w:r>
      <w:r>
        <w:t xml:space="preserve">.</w:t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Seeds were then dried on sterile paper towels before sowing.</w:t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For each container, 200 ml of deionized water was added after seed placement to maintain humidity.</w:t>
      </w:r>
    </w:p>
    <w:bookmarkEnd w:id="56"/>
    <w:bookmarkStart w:id="62" w:name="coralloid-root-sterilization-protocol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Coralloid Root Sterilization Protocol</w:t>
      </w:r>
    </w:p>
    <w:p>
      <w:pPr>
        <w:pStyle w:val="FirstParagraph"/>
      </w:pPr>
      <w:r>
        <w:rPr>
          <w:i/>
          <w:iCs/>
        </w:rPr>
        <w:t xml:space="preserve">References</w:t>
      </w:r>
      <w:r>
        <w:t xml:space="preserve"> </w:t>
      </w:r>
      <w:r>
        <w:t xml:space="preserve">- Bell‐Doyon, P.; Laroche, J.; Saltonstall, K.; Villarreal, J.C. Specialized Bacteriome Uncovered in the Coralloid Roots of the Epiphytic Gymnosperm,</w:t>
      </w:r>
      <w:r>
        <w:t xml:space="preserve"> </w:t>
      </w:r>
      <w:r>
        <w:rPr>
          <w:i/>
          <w:iCs/>
        </w:rPr>
        <w:t xml:space="preserve">Zamia pseudoparasitica</w:t>
      </w:r>
      <w:r>
        <w:t xml:space="preserve">.</w:t>
      </w:r>
      <w:r>
        <w:t xml:space="preserve"> </w:t>
      </w:r>
      <w:r>
        <w:rPr>
          <w:i/>
          <w:iCs/>
        </w:rPr>
        <w:t xml:space="preserve">Environ. DNA</w:t>
      </w:r>
      <w:r>
        <w:t xml:space="preserve"> </w:t>
      </w:r>
      <w:r>
        <w:t xml:space="preserve">2020, 1–11.</w:t>
      </w:r>
      <w:r>
        <w:t xml:space="preserve"> </w:t>
      </w:r>
      <w:hyperlink r:id="rId57">
        <w:r>
          <w:rPr>
            <w:rStyle w:val="Hyperlink"/>
          </w:rPr>
          <w:t xml:space="preserve">https://doi.org/10.1002/edn3.66</w:t>
        </w:r>
      </w:hyperlink>
      <w:r>
        <w:br/>
      </w:r>
      <w:r>
        <w:t xml:space="preserve">- Sierra, A.M.; Toupin, S.; Alonso-García, M.; Villarreal, J.C. Diversity of Symbiotic Cyanobacteria in Cycad Coralloid Roots Using a Short-Read</w:t>
      </w:r>
      <w:r>
        <w:t xml:space="preserve"> </w:t>
      </w:r>
      <w:r>
        <w:rPr>
          <w:i/>
          <w:iCs/>
        </w:rPr>
        <w:t xml:space="preserve">RbcL-X</w:t>
      </w:r>
      <w:r>
        <w:t xml:space="preserve"> </w:t>
      </w:r>
      <w:r>
        <w:t xml:space="preserve">Amplicon.</w:t>
      </w:r>
      <w:r>
        <w:t xml:space="preserve"> </w:t>
      </w:r>
      <w:r>
        <w:rPr>
          <w:i/>
          <w:iCs/>
        </w:rPr>
        <w:t xml:space="preserve">Symbiosis</w:t>
      </w:r>
      <w:r>
        <w:t xml:space="preserve"> </w:t>
      </w:r>
      <w:r>
        <w:t xml:space="preserve">2024, 92, 271–288.</w:t>
      </w:r>
      <w:r>
        <w:t xml:space="preserve"> </w:t>
      </w:r>
      <w:hyperlink r:id="rId58">
        <w:r>
          <w:rPr>
            <w:rStyle w:val="Hyperlink"/>
          </w:rPr>
          <w:t xml:space="preserve">https://doi.org/10.1007/s13199-024-00972-w</w:t>
        </w:r>
      </w:hyperlink>
    </w:p>
    <w:bookmarkStart w:id="59" w:name="pre-processing-storage-condition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Pre-processing Storage Conditions</w:t>
      </w:r>
    </w:p>
    <w:p>
      <w:pPr>
        <w:pStyle w:val="Compact"/>
        <w:numPr>
          <w:ilvl w:val="0"/>
          <w:numId w:val="1028"/>
        </w:numPr>
      </w:pPr>
      <w:r>
        <w:t xml:space="preserve">Coralloid roots should be stored on</w:t>
      </w:r>
      <w:r>
        <w:t xml:space="preserve"> </w:t>
      </w:r>
      <w:r>
        <w:rPr>
          <w:b/>
          <w:bCs/>
        </w:rPr>
        <w:t xml:space="preserve">ice in a hermetically sealed container at 4 °C</w:t>
      </w:r>
      <w:r>
        <w:t xml:space="preserve"> </w:t>
      </w:r>
      <w:r>
        <w:t xml:space="preserve">for no more than</w:t>
      </w:r>
      <w:r>
        <w:t xml:space="preserve"> </w:t>
      </w:r>
      <w:r>
        <w:rPr>
          <w:b/>
          <w:bCs/>
        </w:rPr>
        <w:t xml:space="preserve">2 hours</w:t>
      </w:r>
      <w:r>
        <w:t xml:space="preserve"> </w:t>
      </w:r>
      <w:r>
        <w:t xml:space="preserve">prior to laboratory processing.</w:t>
      </w:r>
    </w:p>
    <w:bookmarkEnd w:id="59"/>
    <w:bookmarkStart w:id="60" w:name="required-materials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Required Materials</w:t>
      </w:r>
    </w:p>
    <w:p>
      <w:pPr>
        <w:pStyle w:val="Compact"/>
        <w:numPr>
          <w:ilvl w:val="0"/>
          <w:numId w:val="1029"/>
        </w:numPr>
      </w:pPr>
      <w:r>
        <w:t xml:space="preserve">Double-distilled water (ddH₂O; autoclaved)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1% Triton X-100 solution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1% commercial bleach (sodium hypochlorite)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95% ethanol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70% ethanol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40% ethanol</w:t>
      </w:r>
      <w:r>
        <w:br/>
      </w:r>
    </w:p>
    <w:p>
      <w:pPr>
        <w:pStyle w:val="Compact"/>
        <w:numPr>
          <w:ilvl w:val="0"/>
          <w:numId w:val="1029"/>
        </w:numPr>
      </w:pPr>
      <w:r>
        <w:t xml:space="preserve">Sterile 1.5 ml microcentrifuge tubes (for DNA or RNA extraction)</w:t>
      </w:r>
    </w:p>
    <w:bookmarkEnd w:id="60"/>
    <w:bookmarkStart w:id="61" w:name="surface-sterilization-procedure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Surface Sterilization Procedure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Initial Cleaning</w:t>
      </w:r>
      <w:r>
        <w:t xml:space="preserve">: Rinse the coralloid roots thoroughly with autoclaved ddH₂O until all visible debris is removed.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Detergent and Bleach Treatment</w:t>
      </w:r>
    </w:p>
    <w:p>
      <w:pPr>
        <w:pStyle w:val="Compact"/>
        <w:numPr>
          <w:ilvl w:val="1"/>
          <w:numId w:val="1031"/>
        </w:numPr>
      </w:pPr>
      <w:r>
        <w:t xml:space="preserve">Submerge the cleaned roots in</w:t>
      </w:r>
      <w:r>
        <w:t xml:space="preserve"> </w:t>
      </w:r>
      <w:r>
        <w:rPr>
          <w:b/>
          <w:bCs/>
        </w:rPr>
        <w:t xml:space="preserve">1% Triton X-100</w:t>
      </w:r>
      <w:r>
        <w:t xml:space="preserve"> </w:t>
      </w:r>
      <w:r>
        <w:t xml:space="preserve">solution for</w:t>
      </w:r>
      <w:r>
        <w:t xml:space="preserve"> </w:t>
      </w:r>
      <w:r>
        <w:rPr>
          <w:b/>
          <w:bCs/>
        </w:rPr>
        <w:t xml:space="preserve">1 minute</w:t>
      </w:r>
      <w:r>
        <w:t xml:space="preserve">.</w:t>
      </w:r>
      <w:r>
        <w:br/>
      </w:r>
    </w:p>
    <w:p>
      <w:pPr>
        <w:pStyle w:val="Compact"/>
        <w:numPr>
          <w:ilvl w:val="1"/>
          <w:numId w:val="1031"/>
        </w:numPr>
      </w:pPr>
      <w:r>
        <w:t xml:space="preserve">Immediately transfer them to</w:t>
      </w:r>
      <w:r>
        <w:t xml:space="preserve"> </w:t>
      </w:r>
      <w:r>
        <w:rPr>
          <w:b/>
          <w:bCs/>
        </w:rPr>
        <w:t xml:space="preserve">1% commercial bleach</w:t>
      </w:r>
      <w:r>
        <w:t xml:space="preserve"> </w:t>
      </w:r>
      <w:r>
        <w:t xml:space="preserve">for an additional</w:t>
      </w:r>
      <w:r>
        <w:t xml:space="preserve"> </w:t>
      </w:r>
      <w:r>
        <w:rPr>
          <w:b/>
          <w:bCs/>
        </w:rPr>
        <w:t xml:space="preserve">1 minute</w:t>
      </w:r>
      <w:r>
        <w:t xml:space="preserve">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Rinse</w:t>
      </w:r>
      <w:r>
        <w:t xml:space="preserve">: Rinse the roots thoroughly with</w:t>
      </w:r>
      <w:r>
        <w:t xml:space="preserve"> </w:t>
      </w:r>
      <w:r>
        <w:rPr>
          <w:b/>
          <w:bCs/>
        </w:rPr>
        <w:t xml:space="preserve">ddH₂O for 5 minutes</w:t>
      </w:r>
      <w:r>
        <w:t xml:space="preserve"> </w:t>
      </w:r>
      <w:r>
        <w:t xml:space="preserve">to ensure complete removal of Triton X-100 and bleach residues.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Ethanol Wash Series</w:t>
      </w:r>
    </w:p>
    <w:p>
      <w:pPr>
        <w:pStyle w:val="Compact"/>
        <w:numPr>
          <w:ilvl w:val="1"/>
          <w:numId w:val="1032"/>
        </w:numPr>
      </w:pPr>
      <w:r>
        <w:t xml:space="preserve">95% ethanol for 30 seconds</w:t>
      </w:r>
      <w:r>
        <w:br/>
      </w:r>
    </w:p>
    <w:p>
      <w:pPr>
        <w:pStyle w:val="Compact"/>
        <w:numPr>
          <w:ilvl w:val="1"/>
          <w:numId w:val="1032"/>
        </w:numPr>
      </w:pPr>
      <w:r>
        <w:t xml:space="preserve">70% ethanol for 60 seconds</w:t>
      </w:r>
      <w:r>
        <w:br/>
      </w:r>
    </w:p>
    <w:p>
      <w:pPr>
        <w:pStyle w:val="Compact"/>
        <w:numPr>
          <w:ilvl w:val="1"/>
          <w:numId w:val="1032"/>
        </w:numPr>
      </w:pPr>
      <w:r>
        <w:t xml:space="preserve">40% ethanol for 120 seconds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Final Rinse</w:t>
      </w:r>
      <w:r>
        <w:t xml:space="preserve">: Rinse the roots</w:t>
      </w:r>
      <w:r>
        <w:t xml:space="preserve"> </w:t>
      </w:r>
      <w:r>
        <w:rPr>
          <w:b/>
          <w:bCs/>
        </w:rPr>
        <w:t xml:space="preserve">three times with ddH₂O</w:t>
      </w:r>
      <w:r>
        <w:t xml:space="preserve"> </w:t>
      </w:r>
      <w:r>
        <w:t xml:space="preserve">to remove any residual ethanol.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Storage</w:t>
      </w:r>
      <w:r>
        <w:t xml:space="preserve">: Transfer the surface-sterilized coralloid roots into</w:t>
      </w:r>
      <w:r>
        <w:t xml:space="preserve"> </w:t>
      </w:r>
      <w:r>
        <w:rPr>
          <w:b/>
          <w:bCs/>
        </w:rPr>
        <w:t xml:space="preserve">sterile 1.5 ml microcentrifuge tubes</w:t>
      </w:r>
      <w:r>
        <w:t xml:space="preserve"> </w:t>
      </w:r>
      <w:r>
        <w:t xml:space="preserve">for subsequent DNA or RNA extraction.</w:t>
      </w:r>
    </w:p>
    <w:p>
      <w:pPr>
        <w:pStyle w:val="FirstParagraph"/>
      </w:pPr>
      <w:r>
        <w:rPr>
          <w:b/>
          <w:bCs/>
        </w:rPr>
        <w:t xml:space="preserve">Notes</w:t>
      </w:r>
      <w:r>
        <w:t xml:space="preserve"> </w:t>
      </w:r>
      <w:r>
        <w:t xml:space="preserve">- It is recommended to complete the cleaning process and immediately immerse the roots in</w:t>
      </w:r>
      <w:r>
        <w:t xml:space="preserve"> </w:t>
      </w:r>
      <w:r>
        <w:rPr>
          <w:b/>
          <w:bCs/>
        </w:rPr>
        <w:t xml:space="preserve">liquid nitrogen</w:t>
      </w:r>
      <w:r>
        <w:t xml:space="preserve">.</w:t>
      </w:r>
      <w:r>
        <w:br/>
      </w:r>
      <w:r>
        <w:t xml:space="preserve">- Frozen roots can be stored at</w:t>
      </w:r>
      <w:r>
        <w:t xml:space="preserve"> </w:t>
      </w:r>
      <w:r>
        <w:rPr>
          <w:b/>
          <w:bCs/>
        </w:rPr>
        <w:t xml:space="preserve">−80 °C</w:t>
      </w:r>
      <w:r>
        <w:t xml:space="preserve">.</w:t>
      </w:r>
      <w:r>
        <w:br/>
      </w:r>
      <w:r>
        <w:t xml:space="preserve">- For</w:t>
      </w:r>
      <w:r>
        <w:t xml:space="preserve"> </w:t>
      </w:r>
      <w:r>
        <w:rPr>
          <w:b/>
          <w:bCs/>
        </w:rPr>
        <w:t xml:space="preserve">RNA extractions</w:t>
      </w:r>
      <w:r>
        <w:t xml:space="preserve">, keep roots in liquid nitrogen during transport and throughout the initial stages of the extraction process.</w:t>
      </w:r>
    </w:p>
    <w:bookmarkEnd w:id="61"/>
    <w:bookmarkEnd w:id="62"/>
    <w:bookmarkStart w:id="76" w:name="X43d016f02e999c1cd2af72cb3d3af050b44b8ad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Cultivation of</w:t>
      </w:r>
      <w:r>
        <w:t xml:space="preserve"> </w:t>
      </w:r>
      <w:r>
        <w:rPr>
          <w:i/>
          <w:iCs/>
        </w:rPr>
        <w:t xml:space="preserve">Nostoc</w:t>
      </w:r>
      <w:r>
        <w:t xml:space="preserve"> </w:t>
      </w:r>
      <w:r>
        <w:t xml:space="preserve">in Liquid and Solid Media</w:t>
      </w:r>
    </w:p>
    <w:bookmarkStart w:id="63" w:name="medium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Medium</w:t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BG-11 without nitrogen (BG-11₀)</w:t>
      </w:r>
      <w:r>
        <w:t xml:space="preserve"> </w:t>
      </w:r>
      <w:r>
        <w:t xml:space="preserve">– prepared as stock following standard recipe, omitting NaNO₃.</w:t>
      </w:r>
      <w:r>
        <w:br/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Cycloheximide</w:t>
      </w:r>
      <w:r>
        <w:t xml:space="preserve"> </w:t>
      </w:r>
      <w:r>
        <w:t xml:space="preserve">– final concentration:</w:t>
      </w:r>
      <w:r>
        <w:t xml:space="preserve"> </w:t>
      </w:r>
      <w:r>
        <w:rPr>
          <w:b/>
          <w:bCs/>
        </w:rPr>
        <w:t xml:space="preserve">50 mg/L</w:t>
      </w:r>
      <w:r>
        <w:t xml:space="preserve"> </w:t>
      </w:r>
      <w:r>
        <w:t xml:space="preserve">(to inhibit eukaryotic contaminants).</w:t>
      </w:r>
      <w:r>
        <w:br/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Optional for solid medium:</w:t>
      </w:r>
      <w:r>
        <w:t xml:space="preserve"> </w:t>
      </w:r>
      <w:r>
        <w:t xml:space="preserve">10 g/L Bacto Agar™.</w:t>
      </w:r>
    </w:p>
    <w:bookmarkEnd w:id="63"/>
    <w:bookmarkStart w:id="64" w:name="materials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Materials</w:t>
      </w:r>
    </w:p>
    <w:p>
      <w:pPr>
        <w:pStyle w:val="Compact"/>
        <w:numPr>
          <w:ilvl w:val="0"/>
          <w:numId w:val="1034"/>
        </w:numPr>
      </w:pPr>
      <w:r>
        <w:t xml:space="preserve">BG-11₀ medium (liquid or solid base)</w:t>
      </w:r>
      <w:r>
        <w:br/>
      </w:r>
    </w:p>
    <w:p>
      <w:pPr>
        <w:pStyle w:val="Compact"/>
        <w:numPr>
          <w:ilvl w:val="0"/>
          <w:numId w:val="1034"/>
        </w:numPr>
      </w:pPr>
      <w:r>
        <w:t xml:space="preserve">Cycloheximide (10 mg/ml sterile stock, filter sterilized)</w:t>
      </w:r>
      <w:r>
        <w:br/>
      </w:r>
    </w:p>
    <w:p>
      <w:pPr>
        <w:pStyle w:val="Compact"/>
        <w:numPr>
          <w:ilvl w:val="0"/>
          <w:numId w:val="1034"/>
        </w:numPr>
      </w:pPr>
      <w:r>
        <w:t xml:space="preserve">Autoclaved Erlenmeyer flasks or sterile Petri dishes</w:t>
      </w:r>
      <w:r>
        <w:br/>
      </w:r>
    </w:p>
    <w:p>
      <w:pPr>
        <w:pStyle w:val="Compact"/>
        <w:numPr>
          <w:ilvl w:val="0"/>
          <w:numId w:val="1034"/>
        </w:numPr>
      </w:pPr>
      <w:r>
        <w:t xml:space="preserve">Sterile pipettes and culture tools</w:t>
      </w:r>
      <w:r>
        <w:br/>
      </w:r>
    </w:p>
    <w:p>
      <w:pPr>
        <w:pStyle w:val="Compact"/>
        <w:numPr>
          <w:ilvl w:val="0"/>
          <w:numId w:val="1034"/>
        </w:numPr>
      </w:pPr>
      <w:r>
        <w:t xml:space="preserve">Inoculum of</w:t>
      </w:r>
      <w:r>
        <w:t xml:space="preserve"> </w:t>
      </w:r>
      <w:r>
        <w:rPr>
          <w:i/>
          <w:iCs/>
        </w:rPr>
        <w:t xml:space="preserve">Nostoc</w:t>
      </w:r>
      <w:r>
        <w:t xml:space="preserve"> </w:t>
      </w:r>
      <w:r>
        <w:t xml:space="preserve">(previously grown cultures)</w:t>
      </w:r>
    </w:p>
    <w:bookmarkEnd w:id="64"/>
    <w:bookmarkStart w:id="74" w:name="protocol-liquid-medium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Protocol – Liquid Medium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Prepare the medium</w:t>
      </w:r>
    </w:p>
    <w:p>
      <w:pPr>
        <w:pStyle w:val="Compact"/>
        <w:numPr>
          <w:ilvl w:val="1"/>
          <w:numId w:val="1036"/>
        </w:numPr>
      </w:pPr>
      <w:r>
        <w:t xml:space="preserve">Autoclave BG-11₀ medium.</w:t>
      </w:r>
      <w:r>
        <w:br/>
      </w:r>
    </w:p>
    <w:p>
      <w:pPr>
        <w:pStyle w:val="Compact"/>
        <w:numPr>
          <w:ilvl w:val="1"/>
          <w:numId w:val="1036"/>
        </w:numPr>
      </w:pPr>
      <w:r>
        <w:t xml:space="preserve">Once cooled to room temperature, add cycloheximide to a final concentration of</w:t>
      </w:r>
      <w:r>
        <w:t xml:space="preserve"> </w:t>
      </w:r>
      <w:r>
        <w:rPr>
          <w:b/>
          <w:bCs/>
        </w:rPr>
        <w:t xml:space="preserve">50 mg/L</w:t>
      </w:r>
      <w:r>
        <w:br/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Inoculation</w:t>
      </w:r>
    </w:p>
    <w:p>
      <w:pPr>
        <w:pStyle w:val="Compact"/>
        <w:numPr>
          <w:ilvl w:val="1"/>
          <w:numId w:val="1037"/>
        </w:numPr>
      </w:pPr>
      <w:r>
        <w:t xml:space="preserve">Transfer fresh</w:t>
      </w:r>
      <w:r>
        <w:t xml:space="preserve"> </w:t>
      </w:r>
      <w:r>
        <w:rPr>
          <w:i/>
          <w:iCs/>
        </w:rPr>
        <w:t xml:space="preserve">Nostoc</w:t>
      </w:r>
      <w:r>
        <w:t xml:space="preserve"> </w:t>
      </w:r>
      <w:r>
        <w:t xml:space="preserve">filaments aseptically into sterile Erlenmeyer flasks containing BG-11₀ + cycloheximide.</w:t>
      </w:r>
      <w:r>
        <w:br/>
      </w:r>
    </w:p>
    <w:p>
      <w:pPr>
        <w:pStyle w:val="Compact"/>
        <w:numPr>
          <w:ilvl w:val="1"/>
          <w:numId w:val="1037"/>
        </w:numPr>
      </w:pPr>
      <w:r>
        <w:t xml:space="preserve">Typical working volume:</w:t>
      </w:r>
      <w:r>
        <w:t xml:space="preserve"> </w:t>
      </w:r>
      <w:r>
        <w:rPr>
          <w:b/>
          <w:bCs/>
        </w:rPr>
        <w:t xml:space="preserve">250 ml medium</w:t>
      </w:r>
      <w:r>
        <w:t xml:space="preserve"> </w:t>
      </w:r>
      <w:r>
        <w:t xml:space="preserve">in</w:t>
      </w:r>
      <w:r>
        <w:t xml:space="preserve"> </w:t>
      </w:r>
      <w:r>
        <w:rPr>
          <w:b/>
          <w:bCs/>
        </w:rPr>
        <w:t xml:space="preserve">500 ml flask</w:t>
      </w:r>
      <w:r>
        <w:t xml:space="preserve">.</w:t>
      </w:r>
      <w:r>
        <w:br/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Incubation</w:t>
      </w:r>
    </w:p>
    <w:p>
      <w:pPr>
        <w:pStyle w:val="Compact"/>
        <w:numPr>
          <w:ilvl w:val="1"/>
          <w:numId w:val="1038"/>
        </w:numPr>
      </w:pPr>
      <w:r>
        <w:t xml:space="preserve">Grow cultures under continuous light or a 16/8 h light/dark cycle.</w:t>
      </w:r>
      <w:r>
        <w:br/>
      </w:r>
    </w:p>
    <w:p>
      <w:pPr>
        <w:pStyle w:val="Compact"/>
        <w:numPr>
          <w:ilvl w:val="1"/>
          <w:numId w:val="1038"/>
        </w:numPr>
      </w:pPr>
      <w:r>
        <w:t xml:space="preserve">Temperature:</w:t>
      </w:r>
      <w:r>
        <w:t xml:space="preserve"> </w:t>
      </w:r>
      <w:r>
        <w:rPr>
          <w:b/>
          <w:bCs/>
        </w:rPr>
        <w:t xml:space="preserve">25–28 °C</w:t>
      </w:r>
      <w:r>
        <w:t xml:space="preserve">.</w:t>
      </w:r>
      <w:r>
        <w:br/>
      </w:r>
    </w:p>
    <w:p>
      <w:pPr>
        <w:pStyle w:val="Compact"/>
        <w:numPr>
          <w:ilvl w:val="1"/>
          <w:numId w:val="1038"/>
        </w:numPr>
      </w:pPr>
      <w:r>
        <w:t xml:space="preserve">Agitation: optional shaking at</w:t>
      </w:r>
      <w:r>
        <w:t xml:space="preserve"> </w:t>
      </w:r>
      <w:r>
        <w:rPr>
          <w:b/>
          <w:bCs/>
        </w:rPr>
        <w:t xml:space="preserve">100 -120 rpm</w:t>
      </w:r>
      <w:r>
        <w:t xml:space="preserve"> </w:t>
      </w:r>
      <w:r>
        <w:t xml:space="preserve">to prevent clumping and ensure aeration.</w:t>
      </w:r>
    </w:p>
    <w:p>
      <w:pPr>
        <w:pStyle w:val="FirstParagraph"/>
      </w:pPr>
      <w:r>
        <w:drawing>
          <wp:inline>
            <wp:extent cx="1706880" cy="3035930"/>
            <wp:effectExtent b="0" l="0" r="0" t="0"/>
            <wp:docPr descr="Nostoc cultivation on BG-11₀ medium." title="" id="66" name="Picture"/>
            <a:graphic>
              <a:graphicData uri="http://schemas.openxmlformats.org/drawingml/2006/picture">
                <pic:pic>
                  <pic:nvPicPr>
                    <pic:cNvPr descr="Figuras/nostoc%20(1)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03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706880" cy="3793066"/>
            <wp:effectExtent b="0" l="0" r="0" t="0"/>
            <wp:docPr descr="Nostoc cultivation on BG-11₀ medium." title="" id="69" name="Picture"/>
            <a:graphic>
              <a:graphicData uri="http://schemas.openxmlformats.org/drawingml/2006/picture">
                <pic:pic>
                  <pic:nvPicPr>
                    <pic:cNvPr descr="Figuras/nostoc%20(2)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706880" cy="3793066"/>
            <wp:effectExtent b="0" l="0" r="0" t="0"/>
            <wp:docPr descr="Nostoc cultivation on BG-11₀ medium." title="" id="72" name="Picture"/>
            <a:graphic>
              <a:graphicData uri="http://schemas.openxmlformats.org/drawingml/2006/picture">
                <pic:pic>
                  <pic:nvPicPr>
                    <pic:cNvPr descr="Figuras/nostoc%20(3)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5" w:name="protocol-solid-medium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Protocol – Solid Medium</w:t>
      </w:r>
    </w:p>
    <w:p>
      <w:pPr>
        <w:pStyle w:val="Compact"/>
        <w:numPr>
          <w:ilvl w:val="0"/>
          <w:numId w:val="1039"/>
        </w:numPr>
      </w:pPr>
      <w:r>
        <w:rPr>
          <w:b/>
          <w:bCs/>
        </w:rPr>
        <w:t xml:space="preserve">Prepare BG-11₀ agar plates</w:t>
      </w:r>
    </w:p>
    <w:p>
      <w:pPr>
        <w:pStyle w:val="Compact"/>
        <w:numPr>
          <w:ilvl w:val="1"/>
          <w:numId w:val="1040"/>
        </w:numPr>
      </w:pPr>
      <w:r>
        <w:t xml:space="preserve">Add</w:t>
      </w:r>
      <w:r>
        <w:t xml:space="preserve"> </w:t>
      </w:r>
      <w:r>
        <w:rPr>
          <w:b/>
          <w:bCs/>
        </w:rPr>
        <w:t xml:space="preserve">10 g/L Bacto Agar™</w:t>
      </w:r>
      <w:r>
        <w:t xml:space="preserve"> </w:t>
      </w:r>
      <w:r>
        <w:t xml:space="preserve">to BG-11₀ medium.</w:t>
      </w:r>
      <w:r>
        <w:br/>
      </w:r>
    </w:p>
    <w:p>
      <w:pPr>
        <w:pStyle w:val="Compact"/>
        <w:numPr>
          <w:ilvl w:val="1"/>
          <w:numId w:val="1040"/>
        </w:numPr>
      </w:pPr>
      <w:r>
        <w:t xml:space="preserve">Autoclave, cool to 55 °C, and add cycloheximide (50 mg/L final) by mixing thoroughly before pouring.</w:t>
      </w:r>
      <w:r>
        <w:br/>
      </w:r>
    </w:p>
    <w:p>
      <w:pPr>
        <w:pStyle w:val="Compact"/>
        <w:numPr>
          <w:ilvl w:val="0"/>
          <w:numId w:val="1039"/>
        </w:numPr>
      </w:pPr>
      <w:r>
        <w:rPr>
          <w:b/>
          <w:bCs/>
        </w:rPr>
        <w:t xml:space="preserve">Inoculation</w:t>
      </w:r>
    </w:p>
    <w:p>
      <w:pPr>
        <w:pStyle w:val="Compact"/>
        <w:numPr>
          <w:ilvl w:val="1"/>
          <w:numId w:val="1041"/>
        </w:numPr>
      </w:pPr>
      <w:r>
        <w:t xml:space="preserve">Place small filaments or droplets of liquid inoculum onto the agar surface.</w:t>
      </w:r>
      <w:r>
        <w:br/>
      </w:r>
    </w:p>
    <w:p>
      <w:pPr>
        <w:pStyle w:val="Compact"/>
        <w:numPr>
          <w:ilvl w:val="1"/>
          <w:numId w:val="1041"/>
        </w:numPr>
      </w:pPr>
      <w:r>
        <w:t xml:space="preserve">Spread gently with sterile loop or glass rod.</w:t>
      </w:r>
      <w:r>
        <w:br/>
      </w:r>
    </w:p>
    <w:p>
      <w:pPr>
        <w:pStyle w:val="Compact"/>
        <w:numPr>
          <w:ilvl w:val="0"/>
          <w:numId w:val="1039"/>
        </w:numPr>
      </w:pPr>
      <w:r>
        <w:rPr>
          <w:b/>
          <w:bCs/>
        </w:rPr>
        <w:t xml:space="preserve">Incubation</w:t>
      </w:r>
    </w:p>
    <w:p>
      <w:pPr>
        <w:pStyle w:val="Compact"/>
        <w:numPr>
          <w:ilvl w:val="1"/>
          <w:numId w:val="1042"/>
        </w:numPr>
      </w:pPr>
      <w:r>
        <w:t xml:space="preserve">Incubate plates at</w:t>
      </w:r>
      <w:r>
        <w:t xml:space="preserve"> </w:t>
      </w:r>
      <w:r>
        <w:rPr>
          <w:b/>
          <w:bCs/>
        </w:rPr>
        <w:t xml:space="preserve">25–28 °C</w:t>
      </w:r>
      <w:r>
        <w:t xml:space="preserve">, under continuous light or 16/8 h cycle.</w:t>
      </w:r>
      <w:r>
        <w:br/>
      </w:r>
    </w:p>
    <w:p>
      <w:pPr>
        <w:pStyle w:val="Compact"/>
        <w:numPr>
          <w:ilvl w:val="1"/>
          <w:numId w:val="1042"/>
        </w:numPr>
      </w:pPr>
      <w:r>
        <w:t xml:space="preserve">Maintain moderate humidity to prevent agar desiccation.</w:t>
      </w:r>
      <w:r>
        <w:br/>
      </w:r>
      <w:r>
        <w:rPr>
          <w:b/>
          <w:bCs/>
        </w:rPr>
        <w:t xml:space="preserve">Notes</w:t>
      </w:r>
    </w:p>
    <w:p>
      <w:pPr>
        <w:pStyle w:val="Compact"/>
        <w:numPr>
          <w:ilvl w:val="0"/>
          <w:numId w:val="1039"/>
        </w:numPr>
      </w:pPr>
      <w:r>
        <w:t xml:space="preserve">Cycloheximide is</w:t>
      </w:r>
      <w:r>
        <w:t xml:space="preserve"> </w:t>
      </w:r>
      <w:r>
        <w:rPr>
          <w:b/>
          <w:bCs/>
        </w:rPr>
        <w:t xml:space="preserve">fungistatic</w:t>
      </w:r>
      <w:r>
        <w:t xml:space="preserve"> </w:t>
      </w:r>
      <w:r>
        <w:t xml:space="preserve">and reduces eukaryotic contaminants but does not affect cyanobacteria like</w:t>
      </w:r>
      <w:r>
        <w:t xml:space="preserve"> </w:t>
      </w:r>
      <w:r>
        <w:rPr>
          <w:i/>
          <w:iCs/>
        </w:rPr>
        <w:t xml:space="preserve">Nostoc</w:t>
      </w:r>
      <w:r>
        <w:t xml:space="preserve">.</w:t>
      </w:r>
      <w:r>
        <w:br/>
      </w:r>
    </w:p>
    <w:p>
      <w:pPr>
        <w:pStyle w:val="Compact"/>
        <w:numPr>
          <w:ilvl w:val="0"/>
          <w:numId w:val="1039"/>
        </w:numPr>
      </w:pPr>
      <w:r>
        <w:t xml:space="preserve">For long-term maintenance, transfer colonies or liquid cultures to fresh BG-11₀ medium every</w:t>
      </w:r>
      <w:r>
        <w:t xml:space="preserve"> </w:t>
      </w:r>
      <w:r>
        <w:rPr>
          <w:b/>
          <w:bCs/>
        </w:rPr>
        <w:t xml:space="preserve">3–4 weeks</w:t>
      </w:r>
      <w:r>
        <w:t xml:space="preserve">.</w:t>
      </w:r>
      <w:r>
        <w:br/>
      </w:r>
    </w:p>
    <w:p>
      <w:pPr>
        <w:pStyle w:val="Compact"/>
        <w:numPr>
          <w:ilvl w:val="0"/>
          <w:numId w:val="1039"/>
        </w:numPr>
      </w:pPr>
      <w:r>
        <w:t xml:space="preserve">Solid plates should be stored in sealed plastic bags or parafilm-wrapped to reduce drying.</w:t>
      </w:r>
      <w:r>
        <w:br/>
      </w:r>
    </w:p>
    <w:p>
      <w:pPr>
        <w:pStyle w:val="Compact"/>
        <w:numPr>
          <w:ilvl w:val="0"/>
          <w:numId w:val="1039"/>
        </w:numPr>
      </w:pPr>
      <w:r>
        <w:t xml:space="preserve">Petri dishes containing solid medium should be</w:t>
      </w:r>
      <w:r>
        <w:t xml:space="preserve"> </w:t>
      </w:r>
      <w:r>
        <w:rPr>
          <w:b/>
          <w:bCs/>
        </w:rPr>
        <w:t xml:space="preserve">incubated in the inverted position</w:t>
      </w:r>
      <w:r>
        <w:t xml:space="preserve"> </w:t>
      </w:r>
      <w:r>
        <w:t xml:space="preserve">(agar side up, lid side down).</w:t>
      </w:r>
      <w:r>
        <w:br/>
      </w:r>
    </w:p>
    <w:p>
      <w:pPr>
        <w:pStyle w:val="Compact"/>
        <w:numPr>
          <w:ilvl w:val="0"/>
          <w:numId w:val="1039"/>
        </w:numPr>
      </w:pPr>
      <w:r>
        <w:t xml:space="preserve">This prevents condensation from dripping onto the agar surface and reduces</w:t>
      </w:r>
      <w:r>
        <w:t xml:space="preserve"> </w:t>
      </w:r>
      <w:r>
        <w:rPr>
          <w:b/>
          <w:bCs/>
        </w:rPr>
        <w:t xml:space="preserve">evaporation</w:t>
      </w:r>
      <w:r>
        <w:t xml:space="preserve"> </w:t>
      </w:r>
      <w:r>
        <w:t xml:space="preserve">of the medium.</w:t>
      </w:r>
    </w:p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50" Target="media/rId50.jpg" /><Relationship Type="http://schemas.openxmlformats.org/officeDocument/2006/relationships/image" Id="rId47" Target="media/rId47.pn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hyperlink" Id="rId28" Target="https://academic.oup.com/pcp/article-lookup/doi/10.1093/oxfordjournals.pcp.a029482" TargetMode="External" /><Relationship Type="http://schemas.openxmlformats.org/officeDocument/2006/relationships/hyperlink" Id="rId57" Target="https://doi.org/10.1002/edn3.66" TargetMode="External" /><Relationship Type="http://schemas.openxmlformats.org/officeDocument/2006/relationships/hyperlink" Id="rId58" Target="https://doi.org/10.1007/s13199-024-00972-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academic.oup.com/pcp/article-lookup/doi/10.1093/oxfordjournals.pcp.a029482" TargetMode="External" /><Relationship Type="http://schemas.openxmlformats.org/officeDocument/2006/relationships/hyperlink" Id="rId57" Target="https://doi.org/10.1002/edn3.66" TargetMode="External" /><Relationship Type="http://schemas.openxmlformats.org/officeDocument/2006/relationships/hyperlink" Id="rId58" Target="https://doi.org/10.1007/s13199-024-00972-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Crop protocols</dc:title>
  <dc:creator>Peñaloza-Bojacá, G.F.; Villarreal Lab.</dc:creator>
  <cp:keywords/>
  <dcterms:created xsi:type="dcterms:W3CDTF">2025-09-19T14:20:25Z</dcterms:created>
  <dcterms:modified xsi:type="dcterms:W3CDTF">2025-09-19T14:20:25Z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2025-09</vt:lpwstr>
  </property>
  <property fmtid="{D5CDD505-2E9C-101B-9397-08002B2CF9AE}" pid="3" name="fontsize">
    <vt:lpwstr>11pt</vt:lpwstr>
  </property>
  <property fmtid="{D5CDD505-2E9C-101B-9397-08002B2CF9AE}" pid="4" name="geometry">
    <vt:lpwstr>margin=2.5cm</vt:lpwstr>
  </property>
  <property fmtid="{D5CDD505-2E9C-101B-9397-08002B2CF9AE}" pid="5" name="header-includes">
    <vt:lpwstr/>
  </property>
  <property fmtid="{D5CDD505-2E9C-101B-9397-08002B2CF9AE}" pid="6" name="linestretch">
    <vt:lpwstr>1.5</vt:lpwstr>
  </property>
  <property fmtid="{D5CDD505-2E9C-101B-9397-08002B2CF9AE}" pid="7" name="output">
    <vt:lpwstr/>
  </property>
</Properties>
</file>