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Aula 1: </w:t>
        <w:br w:type="textWrapping"/>
        <w:br w:type="textWrapping"/>
        <w:t xml:space="preserve">SGBD - Sistema de gerenciamento de banco de dados. 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Interage com o hardware.  “permitem ao usuário definir, construir e manipular Bancos de Dados”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Exemplos de SGBDs: </w:t>
      </w:r>
      <w:r w:rsidDel="00000000" w:rsidR="00000000" w:rsidRPr="00000000">
        <w:rPr>
          <w:rtl w:val="0"/>
        </w:rPr>
        <w:t xml:space="preserve">Oracle,SQL Server, MySQL, PostgreSQL, MongoDB, NoSQL.</w:t>
      </w:r>
    </w:p>
    <w:p w:rsidR="00000000" w:rsidDel="00000000" w:rsidP="00000000" w:rsidRDefault="00000000" w:rsidRPr="00000000" w14:paraId="00000004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SSMS - SQL Server Management Studio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Ambiente integrado para o gerenciamento de </w:t>
      </w: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qualquer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 infraestrutura de SQL. Conecta-se a servidores de banco de dados disponibilizados por SGBDs.</w:t>
      </w:r>
    </w:p>
    <w:p w:rsidR="00000000" w:rsidDel="00000000" w:rsidP="00000000" w:rsidRDefault="00000000" w:rsidRPr="00000000" w14:paraId="00000005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Aula 2: </w:t>
      </w:r>
    </w:p>
    <w:p w:rsidR="00000000" w:rsidDel="00000000" w:rsidP="00000000" w:rsidRDefault="00000000" w:rsidRPr="00000000" w14:paraId="00000007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Modelagem de dados: 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Processo pelo qual, durante a criação de um sistema de informação, a(s) base(s) de dados são definidas e organizadas de forma a potencializar a performance e reduzir os riscos da implementação do banco de dados.</w:t>
      </w:r>
    </w:p>
    <w:p w:rsidR="00000000" w:rsidDel="00000000" w:rsidP="00000000" w:rsidRDefault="00000000" w:rsidRPr="00000000" w14:paraId="00000008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MER - Modelo Entidade Relacionamento: 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Conceito teórico sobre como se deve observar uma situação </w:t>
      </w: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e abstrair 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dela fatores relevantes para a modelagem de um banco de dados. Podemos também nos referir ao MER como a “linguagem” com a qual escreveremos o diagrama de entidade relacionamento.</w:t>
      </w:r>
    </w:p>
    <w:p w:rsidR="00000000" w:rsidDel="00000000" w:rsidP="00000000" w:rsidRDefault="00000000" w:rsidRPr="00000000" w14:paraId="00000009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DER - Diagrama Entidade Relacionamento: 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Material gráfico elaborado conforme as “orientações”/”linguagem” MER. </w:t>
      </w:r>
    </w:p>
    <w:p w:rsidR="00000000" w:rsidDel="00000000" w:rsidP="00000000" w:rsidRDefault="00000000" w:rsidRPr="00000000" w14:paraId="0000000A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Modelo conceitual: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ab/>
        <w:t xml:space="preserve">Modelo lógico: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ab/>
        <w:t xml:space="preserve">Modelo físico: 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Tabela: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são objetos de banco de dados que contêm todos os dados em um banco de dados. Nas tabelas, os dados são organizados de maneira lógica em um formato de linha-e-coluna semelhante ao de uma planilha. </w:t>
      </w: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br w:type="textWrapping"/>
        <w:t xml:space="preserve">Atributo: 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Uma entidade é representada por um conjunto de atributos, os atributos são características de uma entidade.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Entidade: 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é um objeto que existe e é distinguível dos outros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Registro: 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também chamado de linha - representa um único item implícito de dados estruturados em uma tabela</w:t>
      </w:r>
    </w:p>
    <w:p w:rsidR="00000000" w:rsidDel="00000000" w:rsidP="00000000" w:rsidRDefault="00000000" w:rsidRPr="00000000" w14:paraId="00000011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Base de dados: 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conjunto de dados inter relacionados, organizados de forma a permitir a recuperação da informação.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Aula 3: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Escalar banco de dados horizontalmente ou verticalmente: </w:t>
        <w:br w:type="textWrapping"/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Vertical  é quando aumentamos o tamanho de uma instância. </w:t>
        <w:br w:type="textWrapping"/>
        <w:t xml:space="preserve">Horizontal é quando aumentamos a quantidade de instâncias respondendo pela atividade.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ps: instância = máquina virtual.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Em cloud é bem simples fazer essa alteração, no OnPremises não tanto.</w:t>
      </w:r>
    </w:p>
    <w:p w:rsidR="00000000" w:rsidDel="00000000" w:rsidP="00000000" w:rsidRDefault="00000000" w:rsidRPr="00000000" w14:paraId="00000018">
      <w:pPr>
        <w:ind w:left="0" w:firstLine="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Transações: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 simboliza uma unidade de trabalho executada dentro de um sistema de gerenciamento de banco de dados, sobre um banco de dados, e tratada de maneira coerente e confiável, independente de outras transações. Uma transação geralmente representa qualquer alteração em um banco de dados.</w:t>
        <w:br w:type="textWrapping"/>
        <w:br w:type="textWrapping"/>
        <w:t xml:space="preserve">OLAP e OLTP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: </w:t>
      </w:r>
    </w:p>
    <w:p w:rsidR="00000000" w:rsidDel="00000000" w:rsidP="00000000" w:rsidRDefault="00000000" w:rsidRPr="00000000" w14:paraId="00000019">
      <w:pPr>
        <w:ind w:left="0" w:firstLine="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</w:rPr>
        <w:drawing>
          <wp:inline distB="114300" distT="114300" distL="114300" distR="114300">
            <wp:extent cx="57312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