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AE3B6" w14:textId="238AD70F" w:rsidR="00DB3ECD" w:rsidRDefault="00B856CE" w:rsidP="00DB3ECD">
      <w:pPr>
        <w:rPr>
          <w:b/>
        </w:rPr>
      </w:pPr>
      <w:r>
        <w:rPr>
          <w:b/>
        </w:rPr>
        <w:t>Response post 3</w:t>
      </w:r>
      <w:r w:rsidR="00DB3ECD" w:rsidRPr="008C0DBE">
        <w:rPr>
          <w:b/>
        </w:rPr>
        <w:t xml:space="preserve">: Initial Post: </w:t>
      </w:r>
      <w:r w:rsidRPr="00B856CE">
        <w:rPr>
          <w:b/>
        </w:rPr>
        <w:t>the impact of AI in insurance</w:t>
      </w:r>
    </w:p>
    <w:p w14:paraId="6C18DB24" w14:textId="77777777" w:rsidR="00981A4D" w:rsidRDefault="00981A4D" w:rsidP="00DB3ECD"/>
    <w:p w14:paraId="52114FE9" w14:textId="236975C3" w:rsidR="00086E39" w:rsidRDefault="00981A4D" w:rsidP="00BE289C">
      <w:pPr>
        <w:jc w:val="both"/>
      </w:pPr>
      <w:r w:rsidRPr="00981A4D">
        <w:t>Mateusz</w:t>
      </w:r>
      <w:r>
        <w:t xml:space="preserve"> discusses the impact of AI in the insurance industry, with a particular focus in natural language processing. He highlights that the added value of AI is seen mostly in environments with a wealth of data available, but where these data may be complex and difficult to interpret (namely with regards to causal inference, as with the case with many applications within the insurance sector). </w:t>
      </w:r>
      <w:r w:rsidR="00086E39">
        <w:t xml:space="preserve">The specific examples provided </w:t>
      </w:r>
      <w:r w:rsidR="00BE289C">
        <w:t>were</w:t>
      </w:r>
      <w:r w:rsidR="00086E39">
        <w:t xml:space="preserve"> 1) i</w:t>
      </w:r>
      <w:r>
        <w:t>mprove</w:t>
      </w:r>
      <w:r w:rsidR="00086E39">
        <w:t>d</w:t>
      </w:r>
      <w:r>
        <w:t xml:space="preserve"> model accuracy for pricing</w:t>
      </w:r>
      <w:r w:rsidR="00086E39">
        <w:t xml:space="preserve">, </w:t>
      </w:r>
      <w:r w:rsidR="00916521">
        <w:t>2) assistance in post-sales and development of bespoke well-being plans (through the internet-of-things), 3</w:t>
      </w:r>
      <w:r w:rsidR="00086E39">
        <w:t>) i</w:t>
      </w:r>
      <w:r>
        <w:t>mproved risk prediction (</w:t>
      </w:r>
      <w:r w:rsidR="00916521">
        <w:t xml:space="preserve">at the </w:t>
      </w:r>
      <w:r>
        <w:t xml:space="preserve">individual </w:t>
      </w:r>
      <w:r w:rsidR="00916521">
        <w:t xml:space="preserve">or </w:t>
      </w:r>
      <w:r>
        <w:t>company</w:t>
      </w:r>
      <w:r w:rsidR="00916521">
        <w:t xml:space="preserve"> level), and 4</w:t>
      </w:r>
      <w:r w:rsidR="00086E39">
        <w:t>) i</w:t>
      </w:r>
      <w:r>
        <w:t>mprove</w:t>
      </w:r>
      <w:r w:rsidR="00086E39">
        <w:t>d</w:t>
      </w:r>
      <w:r>
        <w:t xml:space="preserve"> organisational logistics, admin</w:t>
      </w:r>
      <w:r w:rsidR="00086E39">
        <w:t>istrative processes</w:t>
      </w:r>
      <w:r>
        <w:t xml:space="preserve">, </w:t>
      </w:r>
      <w:r w:rsidR="00086E39">
        <w:t xml:space="preserve">and documentation. </w:t>
      </w:r>
    </w:p>
    <w:p w14:paraId="7542D6F4" w14:textId="64A029F8" w:rsidR="00916521" w:rsidRDefault="00916521" w:rsidP="00BE289C">
      <w:pPr>
        <w:jc w:val="both"/>
      </w:pPr>
      <w:r>
        <w:t xml:space="preserve">I was interested to read how </w:t>
      </w:r>
      <w:r w:rsidR="00BE289C">
        <w:t xml:space="preserve">Mateusz </w:t>
      </w:r>
      <w:r>
        <w:t>compiled a list of potential benefits from using AI across the entire span of insurance industry processes</w:t>
      </w:r>
      <w:r w:rsidR="00BE289C">
        <w:t xml:space="preserve">, </w:t>
      </w:r>
      <w:r w:rsidR="000C5226">
        <w:t xml:space="preserve">further supported by </w:t>
      </w:r>
      <w:r>
        <w:t>Paul</w:t>
      </w:r>
      <w:r w:rsidR="000C5226">
        <w:t xml:space="preserve">’s contribution referencing a formal integrative framework. </w:t>
      </w:r>
    </w:p>
    <w:p w14:paraId="7F08D451" w14:textId="61F9D31B" w:rsidR="00916521" w:rsidRDefault="000C5226" w:rsidP="00BE289C">
      <w:pPr>
        <w:jc w:val="both"/>
      </w:pPr>
      <w:r>
        <w:t xml:space="preserve">The point made about incorporating data arising from the internet-of-things was a particularly interesting one. Mateusz suggests this could be beneficial in a post-sales setting, but the same could be true for risk prediction. Physical activity over a period of week, as captured by </w:t>
      </w:r>
      <w:r w:rsidR="00FB1EB3">
        <w:t xml:space="preserve">a smartwatch </w:t>
      </w:r>
      <w:r w:rsidR="00BE289C">
        <w:t>and interpreted using AI</w:t>
      </w:r>
      <w:r>
        <w:t>, was shown to be associated with future cardiovascular events and mortality in a large UK study</w:t>
      </w:r>
      <w:r w:rsidR="00BE289C">
        <w:t xml:space="preserve"> </w:t>
      </w:r>
      <w:r w:rsidR="00BE289C">
        <w:fldChar w:fldCharType="begin"/>
      </w:r>
      <w:r w:rsidR="00BE289C">
        <w:instrText xml:space="preserve"> ADDIN ZOTERO_ITEM CSL_CITATION {"citationID":"TKaVEAiv","properties":{"formattedCitation":"(Stamatakis et al., 2022; Ahmadi et al., 2023)","plainCitation":"(Stamatakis et al., 2022; Ahmadi et al., 2023)","noteIndex":0},"citationItems":[{"id":17750,"uris":["http://zotero.org/users/5813034/items/UKGTI48P"],"itemData":{"id":17750,"type":"article-journal","abstract":"Wearable devices can capture unexplored movement patterns such as brief bursts of vigorous intermittent lifestyle physical activity (VILPA) that is embedded into everyday life, rather than being done as leisure time exercise. Here, we examined the association of VILPA with all-cause, cardiovascular disease (CVD) and cancer mortality in 25,241 nonexercisers (mean age 61.8 years, 14,178 women/11,063 men) in the UK Biobank. Over an average follow-up of 6.9 years, during which 852 deaths occurred, VILPA was inversely associated with all three of these outcomes in a near-linear fashion. Compared with participants who engaged in no VILPA, participants who engaged in VILPA at the sample median VILPA frequency of 3 length-standardized bouts per day (lasting 1 or 2 min each) showed a 38%-40% reduction in all-cause and cancer mortality risk and a 48%-49% reduction in CVD mortality risk. Moreover, the sample median VILPA duration of 4.4 min per day was associated with a 26%-30% reduction in all-cause and cancer mortality risk and a 32%-34% reduction in CVD mortality risk. We obtained similar results when repeating the above analyses for vigorous physical activity (VPA) in 62,344 UK Biobank participants who exercised (1,552 deaths, 35,290 women/27,054 men). These results indicate that small amounts of vigorous nonexercise physical activity are associated with substantially lower mortality. VILPA in nonexercisers appears to elicit similar effects to VPA in exercisers, suggesting that VILPA may be a suitable physical activity target, especially in people not able or willing to exercise.","container-title":"Nature Medicine","DOI":"10.1038/s41591-022-02100-x","ISSN":"1546-170X","issue":"12","journalAbbreviation":"Nat Med","language":"eng","note":"PMID: 36482104\nPMCID: PMC9800274","page":"2521-2529","source":"PubMed","title":"Association of wearable device-measured vigorous intermittent lifestyle physical activity with mortality","volume":"28","author":[{"family":"Stamatakis","given":"Emmanuel"},{"family":"Ahmadi","given":"Matthew N."},{"family":"Gill","given":"Jason M. R."},{"family":"Thøgersen-Ntoumani","given":"Cecilie"},{"family":"Gibala","given":"Martin J."},{"family":"Doherty","given":"Aiden"},{"family":"Hamer","given":"Mark"}],"issued":{"date-parts":[["2022",12]]}}},{"id":17747,"uris":["http://zotero.org/users/5813034/items/28K7299A"],"itemData":{"id":17747,"type":"article-journal","abstract":"BACKGROUND: Guidelines emphasise the health benefits of bouts of physical activity of any duration. However, the associations of intermittent lifestyle physical activity accumulated through non-exercise with mortality and major adverse cardiovascular events (MACE) remain unclear. We aimed to examine the associations of bouts of moderate-to-vigorous intermittent lifestyle physical activity (MV-ILPA) and the proportion of vigorous activity contributing within these bouts with mortality and MACE.\nMETHODS: In this prospective cohort study, we used data from the UK Biobank on adults who do not exercise (ie, those who did not report leisure-time exercise) who had wrist-worn accelerometry data available. Participants were followed up until Nov 30, 2022, with the outcome of interest of all-cause mortality obtained through linkage with NHS Digital of England and Wales, and the NHS Central Register and National Records of Scotland, and MACE obtained from inpatient hospitalisation data provided by the Hospital Episode Statistics for England, the Patient Episode Database for Wales, and the Scottish Morbidity Record for Scotland. MV-ILPA bouts were derived using a two-level Random Forest classifier and grouped as short (&lt;1 min), medium (1 to &lt;3 min; 3 to &lt;5 min), and long (5 to &lt;10 min). We further examined the dose-response relationship of the proportion of vigorous physical activity contributing to the MV-ILPA bout.\nFINDINGS: Between June 1, 2013, and Dec 23, 2015, 103 684 Biobank participants wore an accelerometer on their wrist. 25 241 adults (mean age 61·8 years [SD 7·6]), of whom 14 178 (56·2%) were women, were included in our analysis of all-cause mortality. During a mean follow-up duration of 7·9 years (SD 0·9), 824 MACE and 1111 deaths occurred. Compared with bouts of less than 1 min, mortality risk was lower for bouts of 1 min to less than 3 min (hazard ratio [HR] 0·66 [0·53-0·81]), 3 min to less than 5 min (HR 0·56 [0·46-0·69]), and 5 to less than 10 min (HR 0·48 [0·39-0·59]). Similarly, compared with bouts of less than 1 min, risk of MACE was lower for bouts of 1 min to less than 3 min (HR 0·71 [0·54-0·93]), 3 min to less than 5 min (0·62 [0·48-0·81]), and 5 min to less than 10 min (0·59 [0·46-0·76]). Short bouts (&lt;1 min) were associated with lower MACE risk only when bouts were comprised of at least 15% vigorous activity.\nINTERPRETATION: Intermittent non-exercise physical activity was associated with lower mortality and MACE. Our results support the promotion of short intermittent bouts of non-exercise physical activity of moderate-to-vigorous intensity to improve longevity and cardiovascular health among adults who do not habitually exercise in their leisure time.\nFUNDING: Australian National Health, Medical Research Council, and Wellcome Trust.","container-title":"The Lancet. Public Health","DOI":"10.1016/S2468-2667(23)00183-4","ISSN":"2468-2667","issue":"10","journalAbbreviation":"Lancet Public Health","language":"eng","note":"PMID: 37777289","page":"e800-e810","source":"PubMed","title":"Brief bouts of device-measured intermittent lifestyle physical activity and its association with major adverse cardiovascular events and mortality in people who do not exercise: a prospective cohort study","title-short":"Brief bouts of device-measured intermittent lifestyle physical activity and its association with major adverse cardiovascular events and mortality in people who do not exercise","volume":"8","author":[{"family":"Ahmadi","given":"Matthew N."},{"family":"Hamer","given":"Mark"},{"family":"Gill","given":"Jason M. R."},{"family":"Murphy","given":"Marie"},{"family":"Sanders","given":"James P."},{"family":"Doherty","given":"Aiden"},{"family":"Stamatakis","given":"Emmanuel"}],"issued":{"date-parts":[["2023",10]]}}}],"schema":"https://github.com/citation-style-language/schema/raw/master/csl-citation.json"} </w:instrText>
      </w:r>
      <w:r w:rsidR="00BE289C">
        <w:fldChar w:fldCharType="separate"/>
      </w:r>
      <w:r w:rsidR="00BE289C" w:rsidRPr="00BE289C">
        <w:rPr>
          <w:rFonts w:ascii="Calibri" w:hAnsi="Calibri" w:cs="Calibri"/>
        </w:rPr>
        <w:t>(Stamatakis et al., 2022; Ahmadi et al., 2023)</w:t>
      </w:r>
      <w:r w:rsidR="00BE289C">
        <w:fldChar w:fldCharType="end"/>
      </w:r>
      <w:r>
        <w:t xml:space="preserve">. Assuming that </w:t>
      </w:r>
      <w:r w:rsidR="00FB1EB3">
        <w:t>these</w:t>
      </w:r>
      <w:r>
        <w:t xml:space="preserve"> data may improve risk prediction, it may be conceivable that insurers could offer prospective clients the possibility of wearing such devices upon signing up in order to improve risk assessm</w:t>
      </w:r>
      <w:r w:rsidR="00FB1EB3">
        <w:t>ents,</w:t>
      </w:r>
      <w:r w:rsidR="00BE289C">
        <w:t xml:space="preserve"> and therefore offer lower premiums for those who do so</w:t>
      </w:r>
      <w:r>
        <w:t xml:space="preserve">. </w:t>
      </w:r>
      <w:r w:rsidR="00BE289C">
        <w:t>While enticing, this approach raises important ethical questions (as it would make some people</w:t>
      </w:r>
      <w:r w:rsidR="00FB1EB3">
        <w:t xml:space="preserve"> have higher premiums instead),</w:t>
      </w:r>
      <w:r w:rsidR="00FB1EB3" w:rsidRPr="00FB1EB3">
        <w:t> as well as the need for real-time data streams and data storage capacities which would require appropriate infrastructure, processing capacity, and privacy and security safeguards</w:t>
      </w:r>
      <w:r w:rsidR="00FB1EB3">
        <w:t xml:space="preserve"> </w:t>
      </w:r>
      <w:r w:rsidR="00FB1EB3">
        <w:fldChar w:fldCharType="begin"/>
      </w:r>
      <w:r w:rsidR="00FB1EB3">
        <w:instrText xml:space="preserve"> ADDIN ZOTERO_ITEM CSL_CITATION {"citationID":"J2tVu1yM","properties":{"formattedCitation":"(Leslie, 2019)","plainCitation":"(Leslie, 2019)","noteIndex":0},"citationItems":[{"id":17303,"uris":["http://zotero.org/users/5813034/items/SYX2ILCN"],"itemData":{"id":17303,"type":"report","abstract":"A remarkable time of human promise has been ushered in by the convergence of the ever-expanding availability of big data, the soaring speed and stretch of cloud computing platforms, and the advancement of increasingly sophisticated machine learning algorithms.\n\nInnovations in AI are already leaving a mark on government, by improving the provision of essential social goods and services from healthcare, education, and transportation to food supply, energy, and environmental management. These bounties are likely just the start. \n\nThe prospect that progress in AI will help government to confront some of its most urgent challenges is exciting, but legitimate worries abound. As with any new and rapidly evolving technology, a steep learning curve means that mistakes and miscalculations will be made and that both unanticipated and harmful impacts will occur. \n\nIn order to manage these impacts responsibly and to direct the development of AI systems toward optimal public benefit, The Alan Turing Institute's public policy programme partnered with the Office for Artificial Intelligence and the Government Digital Service to produce guidance on the responsible design and implementation of AI systems in the public sector. \n\nThe guide, &lt;em&gt;Understanding Artificial Intelligence Ethics and Safety,&lt;/em&gt; is the most comprehensive guidance on the topic of AI ethics and safety in the public sector to date. It identifies the potential harms caused by AI systems and proposes concrete, operationalisable measures to counteract them. The guide stresses that public sector organisations can anticipate and prevent these potential harms by stewarding a culture of responsible innovation and by putting in place governance processes that support the design and implementation of ethical, fair, and safe AI systems.\n\nThe guidance is relevant to everyone involved in the design, production, and deployment of a public sector AI project: from data scientists and data engineers to domain experts, delivery managers and departmental leads. Our aim -- and hope -- in writing the guide is to encourage civil servants interested in conducting AI projects to make considerations of AI ethics and safety a first priority.","language":"en","license":"Creative Commons Attribution Non Commercial Share Alike 4.0 International, Open Access","note":"DOI: 10.5281/ZENODO.3240528","publisher":"[object Object]","source":"DOI.org (Datacite)","title":"Understanding artificial intelligence ethics and safety: A guide for the responsible design and implementation of AI systems in the public sector","title-short":"Understanding artificial intelligence ethics and safety","URL":"https://zenodo.org/record/3240528","author":[{"family":"Leslie","given":"David"}],"accessed":{"date-parts":[["2024",5,1]]},"issued":{"date-parts":[["2019",6,11]]}}}],"schema":"https://github.com/citation-style-language/schema/raw/master/csl-citation.json"} </w:instrText>
      </w:r>
      <w:r w:rsidR="00FB1EB3">
        <w:fldChar w:fldCharType="separate"/>
      </w:r>
      <w:r w:rsidR="00FB1EB3" w:rsidRPr="00FB1EB3">
        <w:rPr>
          <w:rFonts w:ascii="Calibri" w:hAnsi="Calibri" w:cs="Calibri"/>
        </w:rPr>
        <w:t>(Leslie, 2019)</w:t>
      </w:r>
      <w:r w:rsidR="00FB1EB3">
        <w:fldChar w:fldCharType="end"/>
      </w:r>
      <w:r w:rsidR="00BE289C">
        <w:t xml:space="preserve">. </w:t>
      </w:r>
      <w:bookmarkStart w:id="0" w:name="_GoBack"/>
      <w:bookmarkEnd w:id="0"/>
    </w:p>
    <w:p w14:paraId="3BB876B3" w14:textId="52778BAD" w:rsidR="00BE289C" w:rsidRDefault="00BE289C" w:rsidP="00BE289C">
      <w:pPr>
        <w:jc w:val="both"/>
      </w:pPr>
    </w:p>
    <w:p w14:paraId="4F363E91" w14:textId="55E18A81" w:rsidR="00BE289C" w:rsidRDefault="00BE289C" w:rsidP="00BE289C">
      <w:pPr>
        <w:jc w:val="both"/>
      </w:pPr>
      <w:r>
        <w:t>__________________________________________________________________________________</w:t>
      </w:r>
    </w:p>
    <w:p w14:paraId="77744AF1" w14:textId="676C6BD4" w:rsidR="00BE289C" w:rsidRDefault="00BE289C" w:rsidP="00BE289C">
      <w:pPr>
        <w:jc w:val="both"/>
      </w:pPr>
      <w:r>
        <w:t>References:</w:t>
      </w:r>
    </w:p>
    <w:p w14:paraId="2A8DDE51" w14:textId="77777777" w:rsidR="00FB1EB3" w:rsidRPr="00FB1EB3" w:rsidRDefault="00BE289C" w:rsidP="00FB1EB3">
      <w:pPr>
        <w:pStyle w:val="Bibliography"/>
        <w:rPr>
          <w:rFonts w:ascii="Calibri" w:hAnsi="Calibri" w:cs="Calibri"/>
        </w:rPr>
      </w:pPr>
      <w:r>
        <w:fldChar w:fldCharType="begin"/>
      </w:r>
      <w:r w:rsidR="00FB1EB3">
        <w:instrText xml:space="preserve"> ADDIN ZOTERO_BIBL {"uncited":[],"omitted":[],"custom":[]} CSL_BIBLIOGRAPHY </w:instrText>
      </w:r>
      <w:r>
        <w:fldChar w:fldCharType="separate"/>
      </w:r>
      <w:r w:rsidR="00FB1EB3" w:rsidRPr="00FB1EB3">
        <w:rPr>
          <w:rFonts w:ascii="Calibri" w:hAnsi="Calibri" w:cs="Calibri"/>
        </w:rPr>
        <w:t xml:space="preserve">Ahmadi, M.N. et al. (2023) ‘Brief bouts of device-measured intermittent lifestyle physical activity and its association with major adverse cardiovascular events and mortality in people who do not </w:t>
      </w:r>
      <w:proofErr w:type="gramStart"/>
      <w:r w:rsidR="00FB1EB3" w:rsidRPr="00FB1EB3">
        <w:rPr>
          <w:rFonts w:ascii="Calibri" w:hAnsi="Calibri" w:cs="Calibri"/>
        </w:rPr>
        <w:t>exercise</w:t>
      </w:r>
      <w:proofErr w:type="gramEnd"/>
      <w:r w:rsidR="00FB1EB3" w:rsidRPr="00FB1EB3">
        <w:rPr>
          <w:rFonts w:ascii="Calibri" w:hAnsi="Calibri" w:cs="Calibri"/>
        </w:rPr>
        <w:t xml:space="preserve">: a prospective cohort study’, </w:t>
      </w:r>
      <w:r w:rsidR="00FB1EB3" w:rsidRPr="00FB1EB3">
        <w:rPr>
          <w:rFonts w:ascii="Calibri" w:hAnsi="Calibri" w:cs="Calibri"/>
          <w:i/>
          <w:iCs/>
        </w:rPr>
        <w:t>The Lancet. Public Health</w:t>
      </w:r>
      <w:r w:rsidR="00FB1EB3" w:rsidRPr="00FB1EB3">
        <w:rPr>
          <w:rFonts w:ascii="Calibri" w:hAnsi="Calibri" w:cs="Calibri"/>
        </w:rPr>
        <w:t>, 8(10), pp. e800–e810. Available from: https://doi.org/10.1016/S2468-</w:t>
      </w:r>
      <w:proofErr w:type="gramStart"/>
      <w:r w:rsidR="00FB1EB3" w:rsidRPr="00FB1EB3">
        <w:rPr>
          <w:rFonts w:ascii="Calibri" w:hAnsi="Calibri" w:cs="Calibri"/>
        </w:rPr>
        <w:t>2667(</w:t>
      </w:r>
      <w:proofErr w:type="gramEnd"/>
      <w:r w:rsidR="00FB1EB3" w:rsidRPr="00FB1EB3">
        <w:rPr>
          <w:rFonts w:ascii="Calibri" w:hAnsi="Calibri" w:cs="Calibri"/>
        </w:rPr>
        <w:t>23)00183-4.</w:t>
      </w:r>
    </w:p>
    <w:p w14:paraId="1F968080" w14:textId="77777777" w:rsidR="00FB1EB3" w:rsidRPr="00FB1EB3" w:rsidRDefault="00FB1EB3" w:rsidP="00FB1EB3">
      <w:pPr>
        <w:pStyle w:val="Bibliography"/>
        <w:rPr>
          <w:rFonts w:ascii="Calibri" w:hAnsi="Calibri" w:cs="Calibri"/>
        </w:rPr>
      </w:pPr>
      <w:r w:rsidRPr="00FB1EB3">
        <w:rPr>
          <w:rFonts w:ascii="Calibri" w:hAnsi="Calibri" w:cs="Calibri"/>
        </w:rPr>
        <w:t xml:space="preserve">Leslie, D. (2019) </w:t>
      </w:r>
      <w:r w:rsidRPr="00FB1EB3">
        <w:rPr>
          <w:rFonts w:ascii="Calibri" w:hAnsi="Calibri" w:cs="Calibri"/>
          <w:i/>
          <w:iCs/>
        </w:rPr>
        <w:t>Understanding artificial intelligence ethics and safety: A guide for the responsible design and implementation of AI systems in the public sector</w:t>
      </w:r>
      <w:r w:rsidRPr="00FB1EB3">
        <w:rPr>
          <w:rFonts w:ascii="Calibri" w:hAnsi="Calibri" w:cs="Calibri"/>
        </w:rPr>
        <w:t>. [</w:t>
      </w:r>
      <w:proofErr w:type="gramStart"/>
      <w:r w:rsidRPr="00FB1EB3">
        <w:rPr>
          <w:rFonts w:ascii="Calibri" w:hAnsi="Calibri" w:cs="Calibri"/>
        </w:rPr>
        <w:t>object</w:t>
      </w:r>
      <w:proofErr w:type="gramEnd"/>
      <w:r w:rsidRPr="00FB1EB3">
        <w:rPr>
          <w:rFonts w:ascii="Calibri" w:hAnsi="Calibri" w:cs="Calibri"/>
        </w:rPr>
        <w:t xml:space="preserve"> Object]. Available from: https://doi.org/10.5281/ZENODO.3240528.</w:t>
      </w:r>
    </w:p>
    <w:p w14:paraId="6BCC7561" w14:textId="77777777" w:rsidR="00FB1EB3" w:rsidRPr="00FB1EB3" w:rsidRDefault="00FB1EB3" w:rsidP="00FB1EB3">
      <w:pPr>
        <w:pStyle w:val="Bibliography"/>
        <w:rPr>
          <w:rFonts w:ascii="Calibri" w:hAnsi="Calibri" w:cs="Calibri"/>
        </w:rPr>
      </w:pPr>
      <w:proofErr w:type="spellStart"/>
      <w:r w:rsidRPr="00FB1EB3">
        <w:rPr>
          <w:rFonts w:ascii="Calibri" w:hAnsi="Calibri" w:cs="Calibri"/>
        </w:rPr>
        <w:t>Stamatakis</w:t>
      </w:r>
      <w:proofErr w:type="spellEnd"/>
      <w:r w:rsidRPr="00FB1EB3">
        <w:rPr>
          <w:rFonts w:ascii="Calibri" w:hAnsi="Calibri" w:cs="Calibri"/>
        </w:rPr>
        <w:t xml:space="preserve">, E. et al. (2022) ‘Association of wearable device-measured vigorous intermittent lifestyle physical activity with mortality’, </w:t>
      </w:r>
      <w:r w:rsidRPr="00FB1EB3">
        <w:rPr>
          <w:rFonts w:ascii="Calibri" w:hAnsi="Calibri" w:cs="Calibri"/>
          <w:i/>
          <w:iCs/>
        </w:rPr>
        <w:t>Nature Medicine</w:t>
      </w:r>
      <w:r w:rsidRPr="00FB1EB3">
        <w:rPr>
          <w:rFonts w:ascii="Calibri" w:hAnsi="Calibri" w:cs="Calibri"/>
        </w:rPr>
        <w:t>, 28(12), pp. 2521–2529. Available from: https://doi.org/10.1038/s41591-022-02100-x.</w:t>
      </w:r>
    </w:p>
    <w:p w14:paraId="4571A4AB" w14:textId="1DC00400" w:rsidR="00BE289C" w:rsidRPr="00981A4D" w:rsidRDefault="00BE289C" w:rsidP="00BE289C">
      <w:pPr>
        <w:jc w:val="both"/>
      </w:pPr>
      <w:r>
        <w:fldChar w:fldCharType="end"/>
      </w:r>
    </w:p>
    <w:p w14:paraId="1B50A948" w14:textId="007AF31F" w:rsidR="00916521" w:rsidRDefault="00916521" w:rsidP="00DB3ECD"/>
    <w:p w14:paraId="07CD9613" w14:textId="75031803" w:rsidR="00916521" w:rsidRDefault="00916521" w:rsidP="00DB3ECD"/>
    <w:p w14:paraId="12BD30E1" w14:textId="77777777" w:rsidR="00916521" w:rsidRDefault="00916521" w:rsidP="00DB3ECD"/>
    <w:p w14:paraId="2D99220E" w14:textId="77777777" w:rsidR="00916521" w:rsidRDefault="00916521" w:rsidP="00DB3ECD"/>
    <w:sectPr w:rsidR="00916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CD"/>
    <w:rsid w:val="00086E39"/>
    <w:rsid w:val="000C5226"/>
    <w:rsid w:val="00106A73"/>
    <w:rsid w:val="00322534"/>
    <w:rsid w:val="00554752"/>
    <w:rsid w:val="00653E1C"/>
    <w:rsid w:val="006967BC"/>
    <w:rsid w:val="006C627E"/>
    <w:rsid w:val="00841346"/>
    <w:rsid w:val="008B689E"/>
    <w:rsid w:val="00916521"/>
    <w:rsid w:val="00981A4D"/>
    <w:rsid w:val="00A83F8E"/>
    <w:rsid w:val="00B856CE"/>
    <w:rsid w:val="00BE289C"/>
    <w:rsid w:val="00CF56A5"/>
    <w:rsid w:val="00D01FF5"/>
    <w:rsid w:val="00DB3ECD"/>
    <w:rsid w:val="00FB1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4A2F"/>
  <w15:chartTrackingRefBased/>
  <w15:docId w15:val="{A1D6EDED-E110-41E8-BA12-7A3A3B38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E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1346"/>
    <w:rPr>
      <w:sz w:val="16"/>
      <w:szCs w:val="16"/>
    </w:rPr>
  </w:style>
  <w:style w:type="paragraph" w:styleId="CommentText">
    <w:name w:val="annotation text"/>
    <w:basedOn w:val="Normal"/>
    <w:link w:val="CommentTextChar"/>
    <w:uiPriority w:val="99"/>
    <w:unhideWhenUsed/>
    <w:rsid w:val="00841346"/>
    <w:pPr>
      <w:spacing w:line="240" w:lineRule="auto"/>
    </w:pPr>
    <w:rPr>
      <w:sz w:val="20"/>
      <w:szCs w:val="20"/>
    </w:rPr>
  </w:style>
  <w:style w:type="character" w:customStyle="1" w:styleId="CommentTextChar">
    <w:name w:val="Comment Text Char"/>
    <w:basedOn w:val="DefaultParagraphFont"/>
    <w:link w:val="CommentText"/>
    <w:uiPriority w:val="99"/>
    <w:rsid w:val="00841346"/>
    <w:rPr>
      <w:sz w:val="20"/>
      <w:szCs w:val="20"/>
    </w:rPr>
  </w:style>
  <w:style w:type="paragraph" w:styleId="CommentSubject">
    <w:name w:val="annotation subject"/>
    <w:basedOn w:val="CommentText"/>
    <w:next w:val="CommentText"/>
    <w:link w:val="CommentSubjectChar"/>
    <w:uiPriority w:val="99"/>
    <w:semiHidden/>
    <w:unhideWhenUsed/>
    <w:rsid w:val="00841346"/>
    <w:rPr>
      <w:b/>
      <w:bCs/>
    </w:rPr>
  </w:style>
  <w:style w:type="character" w:customStyle="1" w:styleId="CommentSubjectChar">
    <w:name w:val="Comment Subject Char"/>
    <w:basedOn w:val="CommentTextChar"/>
    <w:link w:val="CommentSubject"/>
    <w:uiPriority w:val="99"/>
    <w:semiHidden/>
    <w:rsid w:val="00841346"/>
    <w:rPr>
      <w:b/>
      <w:bCs/>
      <w:sz w:val="20"/>
      <w:szCs w:val="20"/>
    </w:rPr>
  </w:style>
  <w:style w:type="paragraph" w:styleId="BalloonText">
    <w:name w:val="Balloon Text"/>
    <w:basedOn w:val="Normal"/>
    <w:link w:val="BalloonTextChar"/>
    <w:uiPriority w:val="99"/>
    <w:semiHidden/>
    <w:unhideWhenUsed/>
    <w:rsid w:val="008413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346"/>
    <w:rPr>
      <w:rFonts w:ascii="Segoe UI" w:hAnsi="Segoe UI" w:cs="Segoe UI"/>
      <w:sz w:val="18"/>
      <w:szCs w:val="18"/>
    </w:rPr>
  </w:style>
  <w:style w:type="character" w:styleId="Hyperlink">
    <w:name w:val="Hyperlink"/>
    <w:basedOn w:val="DefaultParagraphFont"/>
    <w:uiPriority w:val="99"/>
    <w:unhideWhenUsed/>
    <w:rsid w:val="006967BC"/>
    <w:rPr>
      <w:color w:val="0563C1" w:themeColor="hyperlink"/>
      <w:u w:val="single"/>
    </w:rPr>
  </w:style>
  <w:style w:type="paragraph" w:styleId="Bibliography">
    <w:name w:val="Bibliography"/>
    <w:basedOn w:val="Normal"/>
    <w:next w:val="Normal"/>
    <w:uiPriority w:val="37"/>
    <w:unhideWhenUsed/>
    <w:rsid w:val="00653E1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6</cp:revision>
  <dcterms:created xsi:type="dcterms:W3CDTF">2024-05-09T16:36:00Z</dcterms:created>
  <dcterms:modified xsi:type="dcterms:W3CDTF">2024-05-13T09:02:00Z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id="MmaRlpPY"/&gt;&lt;style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