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F8E" w:rsidRDefault="006447AB">
      <w:r>
        <w:t xml:space="preserve">Peer response: </w:t>
      </w:r>
      <w:r w:rsidRPr="006447AB">
        <w:t>Decision Trees and k-means Clustering for Medical Use Cases</w:t>
      </w:r>
    </w:p>
    <w:p w:rsidR="006447AB" w:rsidRDefault="006447AB"/>
    <w:p w:rsidR="006447AB" w:rsidRDefault="006447AB" w:rsidP="006447AB">
      <w:pPr>
        <w:jc w:val="both"/>
      </w:pPr>
      <w:r>
        <w:t xml:space="preserve">Within supervised learning, </w:t>
      </w:r>
      <w:r w:rsidR="003967B8">
        <w:t xml:space="preserve">Craig identifies </w:t>
      </w:r>
      <w:r>
        <w:t xml:space="preserve">decision trees (DTs) as a widely used algorithm, capable of performing both classification and regression by employing non-parametric modelling. He highlights explainability as one of the main advantages of DTs, particularly </w:t>
      </w:r>
      <w:r w:rsidR="00CE1286">
        <w:t>when used in medical scenarios</w:t>
      </w:r>
      <w:r>
        <w:t>, given the high ethical standards involved</w:t>
      </w:r>
      <w:r w:rsidR="00CE1286">
        <w:t xml:space="preserve"> and the potential life-altering impacts of AI model outcomes</w:t>
      </w:r>
      <w:r w:rsidR="00D513E1">
        <w:t xml:space="preserve"> </w:t>
      </w:r>
      <w:r w:rsidR="00D513E1">
        <w:fldChar w:fldCharType="begin"/>
      </w:r>
      <w:r w:rsidR="00D513E1">
        <w:instrText xml:space="preserve"> ADDIN ZOTERO_ITEM CSL_CITATION {"citationID":"pGxh7KJ9","properties":{"formattedCitation":"(Muller, Mayrhofer, Van Veen and Holzinger, 2021; Weidener and Fischer, 2024)","plainCitation":"(Muller, Mayrhofer, Van Veen and Holzinger, 2021; Weidener and Fischer, 2024)","noteIndex":0},"citationItems":[{"id":17304,"uris":["http://zotero.org/users/5813034/items/XX8AG5U3"],"itemData":{"id":17304,"type":"article-journal","container-title":"Computer","DOI":"10.1109/MC.2021.3074263","ISSN":"0018-9162, 1558-0814","issue":"7","journalAbbreviation":"Computer","license":"https://ieeexplore.ieee.org/Xplorehelp/downloads/license-information/IEEE.html","page":"119-123","source":"DOI.org (Crossref)","title":"The Ten Commandments of Ethical Medical AI","volume":"54","author":[{"family":"Muller","given":"Heimo"},{"family":"Mayrhofer","given":"Michaela Theresia"},{"family":"Van Veen","given":"Evert-Ben"},{"family":"Holzinger","given":"Andreas"}],"issued":{"date-parts":[["2021",7]]}}},{"id":19019,"uris":["http://zotero.org/users/5813034/items/I999E87A"],"itemData":{"id":19019,"type":"article-journal","abstract":"Background\n              The integration of artificial intelligence (AI)–based applications in the medical field has increased significantly, offering potential improvements in patient care and diagnostics. However, alongside these advancements, there is growing concern about ethical considerations, such as bias, informed consent, and trust in the development of these technologies.\n            \n            \n              Objective\n              This study aims to assess the role of ethics in the development of AI-based applications in medicine. Furthermore, this study focuses on the potential consequences of neglecting ethical considerations in AI development, particularly their impact on patients and physicians.\n            \n            \n              Methods\n              Qualitative content analysis was used to analyze the responses from expert interviews. Experts were selected based on their involvement in the research or practical development of AI-based applications in medicine for at least 5 years, leading to the inclusion of 7 experts in the study.\n            \n            \n              Results\n              The analysis revealed 3 main categories and 7 subcategories reflecting a wide range of views on the role of ethics in AI development. This variance underscores the subjectivity and complexity of integrating ethics into the development of AI in medicine. Although some experts view ethics as fundamental, others prioritize performance and efficiency, with some perceiving ethics as potential obstacles to technological progress. This dichotomy of perspectives clearly emphasizes the subjectivity and complexity surrounding the role of ethics in AI development, reflecting the inherent multifaceted nature of this issue.\n            \n            \n              Conclusions\n              Despite the methodological limitations impacting the generalizability of the results, this study underscores the critical importance of consistent and integrated ethical considerations in AI development for medical applications. It advocates further research into effective strategies for ethical AI development, emphasizing the need for transparent and responsible practices, consideration of diverse data sources, physician training, and the establishment of comprehensive ethical and legal frameworks.","container-title":"JMIR AI","DOI":"10.2196/51204","ISSN":"2817-1705","journalAbbreviation":"JMIR AI","language":"en","page":"e51204","source":"DOI.org (Crossref)","title":"Role of Ethics in Developing AI-Based Applications in Medicine: Insights From Expert Interviews and Discussion of Implications","title-short":"Role of Ethics in Developing AI-Based Applications in Medicine","volume":"3","author":[{"family":"Weidener","given":"Lukas"},{"family":"Fischer","given":"Michael"}],"issued":{"date-parts":[["2024",1,12]]}}}],"schema":"https://github.com/citation-style-language/schema/raw/master/csl-citation.json"} </w:instrText>
      </w:r>
      <w:r w:rsidR="00D513E1">
        <w:fldChar w:fldCharType="separate"/>
      </w:r>
      <w:r w:rsidR="00D513E1" w:rsidRPr="00D513E1">
        <w:rPr>
          <w:rFonts w:ascii="Calibri" w:hAnsi="Calibri" w:cs="Calibri"/>
        </w:rPr>
        <w:t>(Muller, Mayrhofer, Van Veen and Holzinger, 2021; Weidener and Fischer, 2024)</w:t>
      </w:r>
      <w:r w:rsidR="00D513E1">
        <w:fldChar w:fldCharType="end"/>
      </w:r>
      <w:r>
        <w:t xml:space="preserve">. Model explainability is especially important </w:t>
      </w:r>
      <w:r w:rsidR="003967B8">
        <w:t>in this field</w:t>
      </w:r>
      <w:r>
        <w:t xml:space="preserve"> </w:t>
      </w:r>
      <w:r w:rsidR="003967B8">
        <w:t xml:space="preserve">since </w:t>
      </w:r>
      <w:r>
        <w:t xml:space="preserve">implementation of AI technologies based on “black-box” models may be </w:t>
      </w:r>
      <w:r w:rsidR="003967B8">
        <w:t xml:space="preserve">jeopardised </w:t>
      </w:r>
      <w:r>
        <w:t xml:space="preserve">by lack of trust from </w:t>
      </w:r>
      <w:r w:rsidR="003967B8">
        <w:t xml:space="preserve">either </w:t>
      </w:r>
      <w:r>
        <w:t xml:space="preserve">medical professionals </w:t>
      </w:r>
      <w:r w:rsidR="003967B8">
        <w:t xml:space="preserve">or </w:t>
      </w:r>
      <w:r>
        <w:t xml:space="preserve">patients </w:t>
      </w:r>
      <w:r w:rsidR="00D513E1">
        <w:fldChar w:fldCharType="begin"/>
      </w:r>
      <w:r w:rsidR="00D513E1">
        <w:instrText xml:space="preserve"> ADDIN ZOTERO_ITEM CSL_CITATION {"citationID":"JJvIDooA","properties":{"formattedCitation":"(Petch, Di and Nelson, 2022; Gombolay et al., 2024)","plainCitation":"(Petch, Di and Nelson, 2022; Gombolay et al., 2024)","noteIndex":0},"citationItems":[{"id":19017,"uris":["http://zotero.org/users/5813034/items/GAVDTP9P"],"itemData":{"id":19017,"type":"article-journal","container-title":"Canadian Journal of Cardiology","DOI":"10.1016/j.cjca.2021.09.004","ISSN":"0828282X","issue":"2","journalAbbreviation":"Canadian Journal of Cardiology","language":"en","page":"204-213","source":"DOI.org (Crossref)","title":"Opening the Black Box: The Promise and Limitations of Explainable Machine Learning in Cardiology","title-short":"Opening the Black Box","volume":"38","author":[{"family":"Petch","given":"Jeremy"},{"family":"Di","given":"Shuang"},{"family":"Nelson","given":"Walter"}],"issued":{"date-parts":[["2022",2]]}}},{"id":19014,"uris":["http://zotero.org/users/5813034/items/BHZF9NGB"],"itemData":{"id":19014,"type":"article-journal","abstract":"OBJECTIVE: Artificial intelligence (AI)-based decision support systems (DSS) are utilized in medicine but underlying decision-making processes are usually unknown. Explainable AI (xAI) techniques provide insight into DSS, but little is known on how to design xAI for clinicians. Here we investigate the impact of various xAI techniques on a clinician's interaction with an AI-based DSS in decision-making tasks as compared to a general population.\nMETHODS: We conducted a randomized, blinded study in which members of the Child Neurology Society and American Academy of Neurology were compared to a general population. Participants received recommendations from a DSS via a random assignment of an xAI intervention (decision tree, crowd sourced agreement, case-based reasoning, probability scores, counterfactual reasoning, feature importance, templated language, and no explanations). Primary outcomes included test performance and perceived explainability, trust, and social competence of the DSS. Secondary outcomes included compliance, understandability, and agreement per question.\nRESULTS: We had 81 neurology participants with 284 in the general population. Decision trees were perceived as the more explainable by the medical versus general population (P &lt; 0.01) and as more explainable than probability scores within the medical population (P &lt; 0.001). Increasing neurology experience and perceived explainability degraded performance (P = 0.0214). Performance was not predicted by xAI method but by perceived explainability.\nINTERPRETATION: xAI methods have different impacts on a medical versus general population; thus, xAI is not uniformly beneficial, and there is no one-size-fits-all approach. Further user-centered xAI research targeting clinicians and to develop personalized DSS for clinicians is needed.","container-title":"Annals of Clinical and Translational Neurology","DOI":"10.1002/acn3.52036","ISSN":"2328-9503","issue":"5","journalAbbreviation":"Ann Clin Transl Neurol","language":"eng","note":"PMID: 38581138\nPMCID: PMC11093252","page":"1224-1235","source":"PubMed","title":"Effects of explainable artificial intelligence in neurology decision support","volume":"11","author":[{"family":"Gombolay","given":"Grace Y."},{"family":"Silva","given":"Andrew"},{"family":"Schrum","given":"Mariah"},{"family":"Gopalan","given":"Nakul"},{"family":"Hallman-Cooper","given":"Jamika"},{"family":"Dutt","given":"Monideep"},{"family":"Gombolay","given":"Matthew"}],"issued":{"date-parts":[["2024",5]]}}}],"schema":"https://github.com/citation-style-language/schema/raw/master/csl-citation.json"} </w:instrText>
      </w:r>
      <w:r w:rsidR="00D513E1">
        <w:fldChar w:fldCharType="separate"/>
      </w:r>
      <w:r w:rsidR="00D513E1" w:rsidRPr="00D513E1">
        <w:rPr>
          <w:rFonts w:ascii="Calibri" w:hAnsi="Calibri" w:cs="Calibri"/>
        </w:rPr>
        <w:t>(Petch, Di and Nelson, 2022; Gombolay et al., 2024)</w:t>
      </w:r>
      <w:r w:rsidR="00D513E1">
        <w:fldChar w:fldCharType="end"/>
      </w:r>
      <w:r w:rsidR="003967B8">
        <w:t>. Importantly</w:t>
      </w:r>
      <w:r w:rsidR="00D513E1">
        <w:t xml:space="preserve">, DTs mimic the algorithmic nature of many clinical decision support tools already in use, such as the Manchester triage system, facilitating their translation </w:t>
      </w:r>
      <w:r w:rsidR="003967B8">
        <w:t>and adoption in</w:t>
      </w:r>
      <w:r w:rsidR="00D513E1">
        <w:t xml:space="preserve"> clinical practice </w:t>
      </w:r>
      <w:r w:rsidR="00D513E1">
        <w:fldChar w:fldCharType="begin"/>
      </w:r>
      <w:r w:rsidR="00D513E1">
        <w:instrText xml:space="preserve"> ADDIN ZOTERO_ITEM CSL_CITATION {"citationID":"UHjBPQeB","properties":{"formattedCitation":"(Tschoellitsch et al., 2023)","plainCitation":"(Tschoellitsch et al., 2023)","noteIndex":0},"citationItems":[{"id":19026,"uris":["http://zotero.org/users/5813034/items/SNZ2R4TD"],"itemData":{"id":19026,"type":"article-journal","abstract":"Aims\n              Patient admission is a decision relying on sparsely available data. This study aims to provide prediction models for discharge versus admission for ward observation or intensive care, and 30 day-mortality for patients triaged with the Manchester Triage System.\n            \n            \n              Methods\n              This is a single-centre, observational, retrospective cohort study from data within ten minutes of patient presentation at the interdisciplinary emergency department of the Kepler University Hospital, Linz, Austria. We trained machine learning models including Random Forests and Neural Networks individually to predict discharge versus ward observation or intensive care admission, and 30 day-mortality. For analysis of the features’ relevance, we used permutation feature importance.\n            \n            \n              Results\n              A total of 58323 adult patients between 1 December 2015 and 31 August 2020 were included. Neural Networks and Random Forests predicted admission to ward observation with an AUC-ROC of 0.842 ± 0.00 with the most important features being age and chief complaint. For admission to intensive care, the models had an AUC-ROC of 0.819 ± 0.002 with the most important features being the Manchester Triage category and heart rate, and for the outcome 30 day-mortality an AUC-ROC of 0.925 ± 0.001. The most important features for the prediction of 30 day-mortality were age and general ward admission.\n            \n            \n              Conclusion\n              Machine learning can provide prediction on discharge versus admission to general wards and intensive care and inform about risk on 30 day-mortality for patients in the emergency department.","container-title":"European Journal of Emergency Medicine","DOI":"10.1097/MEJ.0000000000001068","ISSN":"0969-9546","issue":"6","language":"en","page":"408-416","source":"DOI.org (Crossref)","title":"Using emergency department triage for machine learning-based admission and mortality prediction","volume":"30","author":[{"family":"Tschoellitsch","given":"Thomas"},{"family":"Seidl","given":"Philipp"},{"family":"Böck","given":"Carl"},{"family":"Maletzky","given":"Alexander"},{"family":"Moser","given":"Philipp"},{"family":"Thumfart","given":"Stefan"},{"family":"Giretzlehner","given":"Michael"},{"family":"Hochreiter","given":"Sepp"},{"family":"Meier","given":"Jens"}],"issued":{"date-parts":[["2023",12]]}}}],"schema":"https://github.com/citation-style-language/schema/raw/master/csl-citation.json"} </w:instrText>
      </w:r>
      <w:r w:rsidR="00D513E1">
        <w:fldChar w:fldCharType="separate"/>
      </w:r>
      <w:r w:rsidR="00D513E1" w:rsidRPr="00D513E1">
        <w:rPr>
          <w:rFonts w:ascii="Calibri" w:hAnsi="Calibri" w:cs="Calibri"/>
        </w:rPr>
        <w:t>(Tschoellitsch et al., 2023)</w:t>
      </w:r>
      <w:r w:rsidR="00D513E1">
        <w:fldChar w:fldCharType="end"/>
      </w:r>
      <w:r w:rsidR="00D513E1">
        <w:t xml:space="preserve">. </w:t>
      </w:r>
      <w:r w:rsidR="00CE1286">
        <w:t xml:space="preserve">Conversely, Craig identifies poor performance with small datasets as one of the limitations of DTs. Other limitations include the potential for overfitting </w:t>
      </w:r>
      <w:r w:rsidR="009A6C45">
        <w:t>by</w:t>
      </w:r>
      <w:r w:rsidR="00CE1286">
        <w:t xml:space="preserve"> </w:t>
      </w:r>
      <w:r w:rsidR="009A6C45">
        <w:t xml:space="preserve">creating </w:t>
      </w:r>
      <w:r w:rsidR="00CE1286">
        <w:t>overtly complex trees (and therefore the need for tree “pruning”), sensitivity to unbalanced classes, among others</w:t>
      </w:r>
      <w:r w:rsidR="00D513E1">
        <w:t xml:space="preserve"> </w:t>
      </w:r>
      <w:r w:rsidR="00D513E1">
        <w:fldChar w:fldCharType="begin"/>
      </w:r>
      <w:r w:rsidR="00D513E1">
        <w:instrText xml:space="preserve"> ADDIN ZOTERO_ITEM CSL_CITATION {"citationID":"lgFqxIRR","properties":{"formattedCitation":"(Bell, 2020; Russel and Norvig, 2021)","plainCitation":"(Bell, 2020; Russel and Norvig, 2021)","noteIndex":0},"citationItems":[{"id":17310,"uris":["http://zotero.org/users/5813034/items/WYYBBA3N"],"itemData":{"id":17310,"type":"book","edition":"2nd","event-place":"Chichester","publisher":"Wiley","publisher-place":"Chichester","title":"Machine Learning: Hands-On for Developers and Technical Professionals","author":[{"family":"Bell","given":"J"}],"issued":{"date-parts":[["2020"]]}}},{"id":17306,"uris":["http://zotero.org/users/5813034/items/CH47FU73"],"itemData":{"id":17306,"type":"book","edition":"Global Edition","publisher":"Pearson Higher Education","title":"Artificial intelligence: A modern approach","author":[{"family":"Russel","given":"S"},{"family":"Norvig","given":"P"}],"issued":{"date-parts":[["2021"]]}}}],"schema":"https://github.com/citation-style-language/schema/raw/master/csl-citation.json"} </w:instrText>
      </w:r>
      <w:r w:rsidR="00D513E1">
        <w:fldChar w:fldCharType="separate"/>
      </w:r>
      <w:r w:rsidR="00D513E1" w:rsidRPr="00D513E1">
        <w:rPr>
          <w:rFonts w:ascii="Calibri" w:hAnsi="Calibri" w:cs="Calibri"/>
        </w:rPr>
        <w:t>(Bell, 2020; Russel and Norvig, 2021)</w:t>
      </w:r>
      <w:r w:rsidR="00D513E1">
        <w:fldChar w:fldCharType="end"/>
      </w:r>
      <w:r w:rsidR="00CE1286">
        <w:t xml:space="preserve">. </w:t>
      </w:r>
    </w:p>
    <w:p w:rsidR="003967B8" w:rsidRDefault="009A6C45" w:rsidP="00BC5E7D">
      <w:pPr>
        <w:jc w:val="both"/>
      </w:pPr>
      <w:r>
        <w:t>K-means clustering is then suggested as an example of how unsupervised learning can be used to aggregate data into relevant groups, based on identifying underlying similarities between elements.</w:t>
      </w:r>
      <w:r w:rsidR="00BC5E7D">
        <w:t xml:space="preserve"> Clustering techniques have found </w:t>
      </w:r>
      <w:r w:rsidR="003967B8">
        <w:t>many applications within medicine</w:t>
      </w:r>
      <w:r w:rsidR="00BC5E7D">
        <w:t>, such as imaging processing and analysis (as suggested by Craig)</w:t>
      </w:r>
      <w:r w:rsidR="003967B8">
        <w:t>. Other examples include unravelling of</w:t>
      </w:r>
      <w:r w:rsidR="00BC5E7D">
        <w:t xml:space="preserve"> phenotypical groupings within heart failure</w:t>
      </w:r>
      <w:r w:rsidR="00D513E1">
        <w:t xml:space="preserve"> </w:t>
      </w:r>
      <w:r w:rsidR="00D513E1">
        <w:fldChar w:fldCharType="begin"/>
      </w:r>
      <w:r w:rsidR="00D513E1">
        <w:instrText xml:space="preserve"> ADDIN ZOTERO_ITEM CSL_CITATION {"citationID":"kunaoDQv","properties":{"formattedCitation":"(Segar et al., 2020)","plainCitation":"(Segar et al., 2020)","noteIndex":0},"citationItems":[{"id":19027,"uris":["http://zotero.org/users/5813034/items/5GH9M9SH"],"itemData":{"id":19027,"type":"article-journal","abstract":"AIM: To identify distinct phenotypic subgroups in a highly-dimensional, mixed-data cohort of individuals with heart failure (HF) with preserved ejection fraction (HFpEF) using unsupervised clustering analysis.\nMETHODS AND RESULTS: The study included all Treatment of Preserved Cardiac Function Heart Failure with an Aldosterone Antagonist (TOPCAT) participants from the Americas (n = 1767). In the subset of participants with available echocardiographic data (derivation cohort, n = 654), we characterized three mutually exclusive phenogroups of HFpEF participants using penalized finite mixture model-based clustering analysis on 61 mixed-data phenotypic variables. Phenogroup 1 had higher burden of co-morbidities, natriuretic peptides, and abnormalities in left ventricular structure and function; phenogroup 2 had lower prevalence of cardiovascular and non-cardiac co-morbidities but higher burden of diastolic dysfunction; and phenogroup 3 had lower natriuretic peptide levels, intermediate co-morbidity burden, and the most favourable diastolic function profile. In adjusted Cox models, participants in phenogroup 1 (vs. phenogroup 3) had significantly higher risk for all adverse clinical events including the primary composite endpoint, all-cause mortality, and HF hospitalization. Phenogroup 2 (vs. phenogroup 3) was significantly associated with higher risk of HF hospitalization but a lower risk of atherosclerotic event (myocardial infarction, stroke, or cardiovascular death), and comparable risk of mortality. Similar patterns of association were also observed in the non-echocardiographic TOPCAT cohort (internal validation cohort, n = 1113) and an external cohort of patients with HFpEF [Phosphodiesterase-5 Inhibition to Improve Clinical Status and Exercise Capacity in Heart Failure with Preserved Ejection Fraction (RELAX) trial cohort, n = 198], with the highest risk of adverse outcome noted in phenogroup 1 participants.\nCONCLUSIONS: Machine learning-based cluster analysis can identify phenogroups of patients with HFpEF with distinct clinical characteristics and long-term outcomes.","container-title":"European Journal of Heart Failure","DOI":"10.1002/ejhf.1621","ISSN":"1879-0844","issue":"1","journalAbbreviation":"Eur J Heart Fail","language":"eng","note":"PMID: 31637815","page":"148-158","source":"PubMed","title":"Phenomapping of patients with heart failure with preserved ejection fraction using machine learning-based unsupervised cluster analysis","volume":"22","author":[{"family":"Segar","given":"Matthew W."},{"family":"Patel","given":"Kershaw V."},{"family":"Ayers","given":"Colby"},{"family":"Basit","given":"Mujeeb"},{"family":"Tang","given":"W. H. Wilson"},{"family":"Willett","given":"Duwayne"},{"family":"Berry","given":"Jarett"},{"family":"Grodin","given":"Justin L."},{"family":"Pandey","given":"Ambarish"}],"issued":{"date-parts":[["2020",1]]}}}],"schema":"https://github.com/citation-style-language/schema/raw/master/csl-citation.json"} </w:instrText>
      </w:r>
      <w:r w:rsidR="00D513E1">
        <w:fldChar w:fldCharType="separate"/>
      </w:r>
      <w:r w:rsidR="00D513E1" w:rsidRPr="00D513E1">
        <w:rPr>
          <w:rFonts w:ascii="Calibri" w:hAnsi="Calibri" w:cs="Calibri"/>
        </w:rPr>
        <w:t>(Segar et al., 2020)</w:t>
      </w:r>
      <w:r w:rsidR="00D513E1">
        <w:fldChar w:fldCharType="end"/>
      </w:r>
      <w:r w:rsidR="00BC5E7D">
        <w:t>, identify</w:t>
      </w:r>
      <w:r w:rsidR="003967B8">
        <w:t>ing</w:t>
      </w:r>
      <w:r w:rsidR="00BC5E7D">
        <w:t xml:space="preserve"> distinct cell groups from transcriptomic data</w:t>
      </w:r>
      <w:r w:rsidR="00D513E1">
        <w:t xml:space="preserve"> </w:t>
      </w:r>
      <w:r w:rsidR="00D513E1">
        <w:fldChar w:fldCharType="begin"/>
      </w:r>
      <w:r w:rsidR="00D513E1">
        <w:instrText xml:space="preserve"> ADDIN ZOTERO_ITEM CSL_CITATION {"citationID":"uYjtIqVv","properties":{"formattedCitation":"(Kobak and Berens, 2019)","plainCitation":"(Kobak and Berens, 2019)","noteIndex":0},"citationItems":[{"id":19030,"uris":["http://zotero.org/users/5813034/items/LYEIR9NA"],"itemData":{"id":19030,"type":"article-journal","abstract":"Single-cell transcriptomics yields ever growing data sets containing RNA expression levels for thousands of genes from up to millions of cells. Common data analysis pipelines include a dimensionality reduction step for visualising the data in two dimensions, most frequently performed using t-distributed stochastic neighbour embedding (t-SNE). It excels at revealing local structure in high-dimensional data, but naive applications often suffer from severe shortcomings, e.g. the global structure of the data is not represented accurately. Here we describe how to circumvent such pitfalls, and develop a protocol for creating more faithful t-SNE visualisations. It includes PCA initialisation, a high learning rate, and multi-scale similarity kernels; for very large data sets, we additionally use exaggeration and downsampling-based initialisation. We use published single-cell RNA-seq data sets to demonstrate that this protocol yields superior results compared to the naive application of t-SNE.","container-title":"Nature Communications","DOI":"10.1038/s41467-019-13056-x","ISSN":"2041-1723","issue":"1","journalAbbreviation":"Nat Commun","language":"eng","note":"PMID: 31780648\nPMCID: PMC6882829","page":"5416","source":"PubMed","title":"The art of using t-SNE for single-cell transcriptomics","volume":"10","author":[{"family":"Kobak","given":"Dmitry"},{"family":"Berens","given":"Philipp"}],"issued":{"date-parts":[["2019",11,28]]}}}],"schema":"https://github.com/citation-style-language/schema/raw/master/csl-citation.json"} </w:instrText>
      </w:r>
      <w:r w:rsidR="00D513E1">
        <w:fldChar w:fldCharType="separate"/>
      </w:r>
      <w:r w:rsidR="00D513E1" w:rsidRPr="00D513E1">
        <w:rPr>
          <w:rFonts w:ascii="Calibri" w:hAnsi="Calibri" w:cs="Calibri"/>
        </w:rPr>
        <w:t>(Kobak and Berens, 2019)</w:t>
      </w:r>
      <w:r w:rsidR="00D513E1">
        <w:fldChar w:fldCharType="end"/>
      </w:r>
      <w:r w:rsidR="00BC5E7D">
        <w:t>, and, interestingly, develop</w:t>
      </w:r>
      <w:r w:rsidR="003967B8">
        <w:t>ment of</w:t>
      </w:r>
      <w:r w:rsidR="00BC5E7D">
        <w:t xml:space="preserve"> risk prediction tools (a task usually performed using supervised learning)</w:t>
      </w:r>
      <w:r w:rsidR="003967B8">
        <w:t xml:space="preserve"> </w:t>
      </w:r>
      <w:r w:rsidR="003967B8">
        <w:fldChar w:fldCharType="begin"/>
      </w:r>
      <w:r w:rsidR="003967B8">
        <w:instrText xml:space="preserve"> ADDIN ZOTERO_ITEM CSL_CITATION {"citationID":"eJp17y9W","properties":{"formattedCitation":"(Baheti, Innani, Nasrallah and Bakas, 2024; Lamp et al., 2024)","plainCitation":"(Baheti, Innani, Nasrallah and Bakas, 2024; Lamp et al., 2024)","noteIndex":0},"citationItems":[{"id":19034,"uris":["http://zotero.org/users/5813034/items/N3WMVSF6"],"itemData":{"id":19034,"type":"article-journal","abstract":"Introduction\n              Glioblastoma (GBM) is a highly aggressive malignant tumor of the central nervous system that displays varying molecular and morphological profiles, leading to challenging prognostic assessments. Stratifying GBM patients according to overall survival (OS) from H&amp;amp;E-stained whole slide images (WSI) using advanced computational methods is challenging, but with direct clinical implications.\n            \n            \n              Methods\n              This work is focusing on GBM (IDH-wildtype, CNS WHO Gr.4) cases, identified from the TCGA-GBM and TCGA-LGG collections after considering the 2021 WHO classification criteria. The proposed approach starts with patch extraction in each WSI, followed by comprehensive patch-level curation to discard artifactual content, i.e., glass reflections, pen markings, dust on the slide, and tissue tearing. Each patch is then computationally described as a feature vector defined by a pre-trained VGG16 convolutional neural network. Principal component analysis provides a feature representation of reduced dimensionality, further facilitating identification of distinct groups of morphology patterns, via unsupervised k-means clustering.\n            \n            \n              Results\n              The optimal number of clusters, according to cluster reproducibility and separability, is automatically determined based on the rand index and silhouette coefficient, respectively. Our proposed approach achieved prognostic stratification accuracy of 83.33% on a multi-institutional independent unseen hold-out test set with sensitivity and specificity of 83.33%.\n            \n            \n              Discussion\n              We hypothesize that the quantification of these clusters of morphology patterns, reflect the tumor's spatial heterogeneity and yield prognostic relevant information to distinguish between short and long survivors using a decision tree classifier. The interpretability analysis of the obtained results can contribute to furthering and quantifying our understanding of GBM and potentially improving our diagnostic and prognostic predictions.","container-title":"Frontiers in Neuroscience","DOI":"10.3389/fnins.2024.1304191","ISSN":"1662-453X","journalAbbreviation":"Front. Neurosci.","page":"1304191","source":"DOI.org (Crossref)","title":"Prognostic stratification of glioblastoma patients by unsupervised clustering of morphology patterns on whole slide images furthering our disease understanding","volume":"18","author":[{"family":"Baheti","given":"Bhakti"},{"family":"Innani","given":"Shubham"},{"family":"Nasrallah","given":"MacLean"},{"family":"Bakas","given":"Spyridon"}],"issued":{"date-parts":[["2024",5,20]]}}},{"id":19033,"uris":["http://zotero.org/users/5813034/items/5H3W2JPP"],"itemData":{"id":19033,"type":"article-journal","container-title":"American Heart Journal","DOI":"10.1016/j.ahj.2024.02.001","ISSN":"00028703","journalAbbreviation":"American Heart Journal","language":"en","page":"1-11","source":"DOI.org (Crossref)","title":"Characterizing advanced heart failure risk and hemodynamic phenotypes using interpretable machine learning","volume":"271","author":[{"family":"Lamp","given":"Josephine"},{"family":"Wu","given":"Yuxin"},{"family":"Lamp","given":"Steven"},{"family":"Afriyie","given":"Prince"},{"family":"Ashur","given":"Nicholas"},{"family":"Bilchick","given":"Kenneth"},{"family":"Breathett","given":"Khadijah"},{"family":"Kwon","given":"Younghoon"},{"family":"Li","given":"Song"},{"family":"Mehta","given":"Nishaki"},{"family":"Pena","given":"Edward Rojas"},{"family":"Feng","given":"Lu"},{"family":"Mazimba","given":"Sula"}],"issued":{"date-parts":[["2024",5]]}}}],"schema":"https://github.com/citation-style-language/schema/raw/master/csl-citation.json"} </w:instrText>
      </w:r>
      <w:r w:rsidR="003967B8">
        <w:fldChar w:fldCharType="separate"/>
      </w:r>
      <w:r w:rsidR="003967B8" w:rsidRPr="003967B8">
        <w:rPr>
          <w:rFonts w:ascii="Calibri" w:hAnsi="Calibri" w:cs="Calibri"/>
        </w:rPr>
        <w:t>(Baheti, Innani, Nasrallah and Bakas, 2024; Lamp et al., 2024)</w:t>
      </w:r>
      <w:r w:rsidR="003967B8">
        <w:fldChar w:fldCharType="end"/>
      </w:r>
      <w:r w:rsidR="00BC5E7D">
        <w:t>.</w:t>
      </w:r>
      <w:r w:rsidR="009D48F4">
        <w:t xml:space="preserve"> Besides the limitations mentioned </w:t>
      </w:r>
      <w:r w:rsidR="003967B8">
        <w:t xml:space="preserve">by Craig </w:t>
      </w:r>
      <w:r w:rsidR="009D48F4">
        <w:t xml:space="preserve">(susceptibility to over-segmentation and noise sensitivity), k-means clustering models are also hindered by sensitivity to the initial choice of clusters, variability in approaches used to select </w:t>
      </w:r>
      <w:r w:rsidR="003967B8">
        <w:t xml:space="preserve">an </w:t>
      </w:r>
      <w:r w:rsidR="009D48F4">
        <w:t>optimal k, and decreasing performance with high-dimensionality data (otherwise known as “curse of dimensionality”)</w:t>
      </w:r>
      <w:r w:rsidR="003967B8">
        <w:t xml:space="preserve"> </w:t>
      </w:r>
      <w:r w:rsidR="003967B8">
        <w:fldChar w:fldCharType="begin"/>
      </w:r>
      <w:r w:rsidR="003967B8">
        <w:instrText xml:space="preserve"> ADDIN ZOTERO_ITEM CSL_CITATION {"citationID":"cTCPIwGs","properties":{"formattedCitation":"(Russel and Norvig, 2021; Ikotun, Ezugwu, Abualigah, Abuhaija and Heming, 2023)","plainCitation":"(Russel and Norvig, 2021; Ikotun, Ezugwu, Abualigah, Abuhaija and Heming, 2023)","noteIndex":0},"citationItems":[{"id":17306,"uris":["http://zotero.org/users/5813034/items/CH47FU73"],"itemData":{"id":17306,"type":"book","edition":"Global Edition","publisher":"Pearson Higher Education","title":"Artificial intelligence: A modern approach","author":[{"family":"Russel","given":"S"},{"family":"Norvig","given":"P"}],"issued":{"date-parts":[["2021"]]}}},{"id":19036,"uris":["http://zotero.org/users/5813034/items/43MB9EJH"],"itemData":{"id":19036,"type":"article-journal","container-title":"Information Sciences","DOI":"10.1016/j.ins.2022.11.139","ISSN":"00200255","journalAbbreviation":"Information Sciences","language":"en","page":"178-210","source":"DOI.org (Crossref)","title":"K-means clustering algorithms: A comprehensive review, variants analysis, and advances in the era of big data","title-short":"K-means clustering algorithms","volume":"622","author":[{"family":"Ikotun","given":"Abiodun M."},{"family":"Ezugwu","given":"Absalom E."},{"family":"Abualigah","given":"Laith"},{"family":"Abuhaija","given":"Belal"},{"family":"Heming","given":"Jia"}],"issued":{"date-parts":[["2023",4]]}}}],"schema":"https://github.com/citation-style-language/schema/raw/master/csl-citation.json"} </w:instrText>
      </w:r>
      <w:r w:rsidR="003967B8">
        <w:fldChar w:fldCharType="separate"/>
      </w:r>
      <w:r w:rsidR="003967B8" w:rsidRPr="003967B8">
        <w:rPr>
          <w:rFonts w:ascii="Calibri" w:hAnsi="Calibri" w:cs="Calibri"/>
        </w:rPr>
        <w:t>(Russel and Norvig, 2021; Ikotun, Ezugwu, Abualigah, Abuhaija and Heming, 2023)</w:t>
      </w:r>
      <w:r w:rsidR="003967B8">
        <w:fldChar w:fldCharType="end"/>
      </w:r>
      <w:r w:rsidR="009D48F4">
        <w:t>.</w:t>
      </w:r>
      <w:r w:rsidR="003967B8">
        <w:t xml:space="preserve"> </w:t>
      </w:r>
    </w:p>
    <w:p w:rsidR="009A6C45" w:rsidRDefault="009D48F4" w:rsidP="00BC5E7D">
      <w:pPr>
        <w:jc w:val="both"/>
      </w:pPr>
      <w:r>
        <w:t xml:space="preserve">However, despite their limitations, </w:t>
      </w:r>
      <w:r w:rsidR="003967B8">
        <w:t xml:space="preserve">DTs and </w:t>
      </w:r>
      <w:r>
        <w:t xml:space="preserve">k-means clustering </w:t>
      </w:r>
      <w:r w:rsidR="003967B8">
        <w:t>can be extremely</w:t>
      </w:r>
      <w:r>
        <w:t xml:space="preserve"> useful </w:t>
      </w:r>
      <w:r w:rsidR="003967B8">
        <w:t xml:space="preserve">models </w:t>
      </w:r>
      <w:r>
        <w:t>for application of ML in medical scenarios</w:t>
      </w:r>
      <w:r w:rsidR="003967B8">
        <w:t>, as long as the potential pitfalls of either approach are recognised and appropriately addressed</w:t>
      </w:r>
      <w:r>
        <w:t>.</w:t>
      </w:r>
      <w:bookmarkStart w:id="0" w:name="_GoBack"/>
      <w:bookmarkEnd w:id="0"/>
    </w:p>
    <w:p w:rsidR="003967B8" w:rsidRDefault="003967B8" w:rsidP="00BC5E7D">
      <w:pPr>
        <w:jc w:val="both"/>
      </w:pPr>
    </w:p>
    <w:p w:rsidR="003967B8" w:rsidRDefault="003967B8" w:rsidP="00BC5E7D">
      <w:pPr>
        <w:jc w:val="both"/>
      </w:pPr>
      <w:r>
        <w:t>References:</w:t>
      </w:r>
    </w:p>
    <w:p w:rsidR="003967B8" w:rsidRPr="003967B8" w:rsidRDefault="003967B8" w:rsidP="003967B8">
      <w:pPr>
        <w:pStyle w:val="Bibliography"/>
        <w:rPr>
          <w:rFonts w:ascii="Calibri" w:hAnsi="Calibri" w:cs="Calibri"/>
        </w:rPr>
      </w:pPr>
      <w:r>
        <w:fldChar w:fldCharType="begin"/>
      </w:r>
      <w:r>
        <w:instrText xml:space="preserve"> ADDIN ZOTERO_BIBL {"uncited":[],"omitted":[],"custom":[]} CSL_BIBLIOGRAPHY </w:instrText>
      </w:r>
      <w:r>
        <w:fldChar w:fldCharType="separate"/>
      </w:r>
      <w:r w:rsidRPr="003967B8">
        <w:rPr>
          <w:rFonts w:ascii="Calibri" w:hAnsi="Calibri" w:cs="Calibri"/>
        </w:rPr>
        <w:t xml:space="preserve">Baheti, B., Innani, S., Nasrallah, M. and Bakas, S. (2024) ‘Prognostic stratification of glioblastoma patients by unsupervised clustering of morphology patterns on whole slide images furthering our disease understanding’, </w:t>
      </w:r>
      <w:r w:rsidRPr="003967B8">
        <w:rPr>
          <w:rFonts w:ascii="Calibri" w:hAnsi="Calibri" w:cs="Calibri"/>
          <w:i/>
          <w:iCs/>
        </w:rPr>
        <w:t>Frontiers in Neuroscience</w:t>
      </w:r>
      <w:r w:rsidRPr="003967B8">
        <w:rPr>
          <w:rFonts w:ascii="Calibri" w:hAnsi="Calibri" w:cs="Calibri"/>
        </w:rPr>
        <w:t>, 18, p. 1304191. Available from: https://doi.org/10.3389/fnins.2024.1304191.</w:t>
      </w:r>
    </w:p>
    <w:p w:rsidR="003967B8" w:rsidRPr="003967B8" w:rsidRDefault="003967B8" w:rsidP="003967B8">
      <w:pPr>
        <w:pStyle w:val="Bibliography"/>
        <w:rPr>
          <w:rFonts w:ascii="Calibri" w:hAnsi="Calibri" w:cs="Calibri"/>
        </w:rPr>
      </w:pPr>
      <w:r w:rsidRPr="003967B8">
        <w:rPr>
          <w:rFonts w:ascii="Calibri" w:hAnsi="Calibri" w:cs="Calibri"/>
        </w:rPr>
        <w:t xml:space="preserve">Bell, J. (2020) </w:t>
      </w:r>
      <w:r w:rsidRPr="003967B8">
        <w:rPr>
          <w:rFonts w:ascii="Calibri" w:hAnsi="Calibri" w:cs="Calibri"/>
          <w:i/>
          <w:iCs/>
        </w:rPr>
        <w:t>Machine Learning: Hands-On for Developers and Technical Professionals</w:t>
      </w:r>
      <w:r w:rsidRPr="003967B8">
        <w:rPr>
          <w:rFonts w:ascii="Calibri" w:hAnsi="Calibri" w:cs="Calibri"/>
        </w:rPr>
        <w:t>. 2nd edn. Chichester: Wiley.</w:t>
      </w:r>
    </w:p>
    <w:p w:rsidR="003967B8" w:rsidRPr="003967B8" w:rsidRDefault="003967B8" w:rsidP="003967B8">
      <w:pPr>
        <w:pStyle w:val="Bibliography"/>
        <w:rPr>
          <w:rFonts w:ascii="Calibri" w:hAnsi="Calibri" w:cs="Calibri"/>
        </w:rPr>
      </w:pPr>
      <w:r w:rsidRPr="003967B8">
        <w:rPr>
          <w:rFonts w:ascii="Calibri" w:hAnsi="Calibri" w:cs="Calibri"/>
        </w:rPr>
        <w:t xml:space="preserve">Gombolay, G.Y. et al. (2024) ‘Effects of explainable artificial intelligence in neurology decision support’, </w:t>
      </w:r>
      <w:r w:rsidRPr="003967B8">
        <w:rPr>
          <w:rFonts w:ascii="Calibri" w:hAnsi="Calibri" w:cs="Calibri"/>
          <w:i/>
          <w:iCs/>
        </w:rPr>
        <w:t>Annals of Clinical and Translational Neurology</w:t>
      </w:r>
      <w:r w:rsidRPr="003967B8">
        <w:rPr>
          <w:rFonts w:ascii="Calibri" w:hAnsi="Calibri" w:cs="Calibri"/>
        </w:rPr>
        <w:t>, 11(5), pp. 1224–1235. Available from: https://doi.org/10.1002/acn3.52036.</w:t>
      </w:r>
    </w:p>
    <w:p w:rsidR="003967B8" w:rsidRPr="003967B8" w:rsidRDefault="003967B8" w:rsidP="003967B8">
      <w:pPr>
        <w:pStyle w:val="Bibliography"/>
        <w:rPr>
          <w:rFonts w:ascii="Calibri" w:hAnsi="Calibri" w:cs="Calibri"/>
        </w:rPr>
      </w:pPr>
      <w:r w:rsidRPr="003967B8">
        <w:rPr>
          <w:rFonts w:ascii="Calibri" w:hAnsi="Calibri" w:cs="Calibri"/>
        </w:rPr>
        <w:lastRenderedPageBreak/>
        <w:t xml:space="preserve">Ikotun, A.M., Ezugwu, A.E., Abualigah, L., Abuhaija, B. and Heming, J. (2023) ‘K-means clustering algorithms: A comprehensive review, variants analysis, and advances in the era of big data’, </w:t>
      </w:r>
      <w:r w:rsidRPr="003967B8">
        <w:rPr>
          <w:rFonts w:ascii="Calibri" w:hAnsi="Calibri" w:cs="Calibri"/>
          <w:i/>
          <w:iCs/>
        </w:rPr>
        <w:t>Information Sciences</w:t>
      </w:r>
      <w:r w:rsidRPr="003967B8">
        <w:rPr>
          <w:rFonts w:ascii="Calibri" w:hAnsi="Calibri" w:cs="Calibri"/>
        </w:rPr>
        <w:t>, 622, pp. 178–210. Available from: https://doi.org/10.1016/j.ins.2022.11.139.</w:t>
      </w:r>
    </w:p>
    <w:p w:rsidR="003967B8" w:rsidRPr="003967B8" w:rsidRDefault="003967B8" w:rsidP="003967B8">
      <w:pPr>
        <w:pStyle w:val="Bibliography"/>
        <w:rPr>
          <w:rFonts w:ascii="Calibri" w:hAnsi="Calibri" w:cs="Calibri"/>
        </w:rPr>
      </w:pPr>
      <w:r w:rsidRPr="003967B8">
        <w:rPr>
          <w:rFonts w:ascii="Calibri" w:hAnsi="Calibri" w:cs="Calibri"/>
        </w:rPr>
        <w:t xml:space="preserve">Kobak, D. and Berens, P. (2019) ‘The art of using t-SNE for single-cell transcriptomics’, </w:t>
      </w:r>
      <w:r w:rsidRPr="003967B8">
        <w:rPr>
          <w:rFonts w:ascii="Calibri" w:hAnsi="Calibri" w:cs="Calibri"/>
          <w:i/>
          <w:iCs/>
        </w:rPr>
        <w:t>Nature Communications</w:t>
      </w:r>
      <w:r w:rsidRPr="003967B8">
        <w:rPr>
          <w:rFonts w:ascii="Calibri" w:hAnsi="Calibri" w:cs="Calibri"/>
        </w:rPr>
        <w:t>, 10(1), p. 5416. Available from: https://doi.org/10.1038/s41467-019-13056-x.</w:t>
      </w:r>
    </w:p>
    <w:p w:rsidR="003967B8" w:rsidRPr="003967B8" w:rsidRDefault="003967B8" w:rsidP="003967B8">
      <w:pPr>
        <w:pStyle w:val="Bibliography"/>
        <w:rPr>
          <w:rFonts w:ascii="Calibri" w:hAnsi="Calibri" w:cs="Calibri"/>
        </w:rPr>
      </w:pPr>
      <w:r w:rsidRPr="003967B8">
        <w:rPr>
          <w:rFonts w:ascii="Calibri" w:hAnsi="Calibri" w:cs="Calibri"/>
        </w:rPr>
        <w:t xml:space="preserve">Lamp, J. et al. (2024) ‘Characterizing advanced heart failure risk and hemodynamic phenotypes using interpretable machine learning’, </w:t>
      </w:r>
      <w:r w:rsidRPr="003967B8">
        <w:rPr>
          <w:rFonts w:ascii="Calibri" w:hAnsi="Calibri" w:cs="Calibri"/>
          <w:i/>
          <w:iCs/>
        </w:rPr>
        <w:t>American Heart Journal</w:t>
      </w:r>
      <w:r w:rsidRPr="003967B8">
        <w:rPr>
          <w:rFonts w:ascii="Calibri" w:hAnsi="Calibri" w:cs="Calibri"/>
        </w:rPr>
        <w:t>, 271, pp. 1–11. Available from: https://doi.org/10.1016/j.ahj.2024.02.001.</w:t>
      </w:r>
    </w:p>
    <w:p w:rsidR="003967B8" w:rsidRPr="003967B8" w:rsidRDefault="003967B8" w:rsidP="003967B8">
      <w:pPr>
        <w:pStyle w:val="Bibliography"/>
        <w:rPr>
          <w:rFonts w:ascii="Calibri" w:hAnsi="Calibri" w:cs="Calibri"/>
        </w:rPr>
      </w:pPr>
      <w:r w:rsidRPr="003967B8">
        <w:rPr>
          <w:rFonts w:ascii="Calibri" w:hAnsi="Calibri" w:cs="Calibri"/>
        </w:rPr>
        <w:t xml:space="preserve">Muller, H., Mayrhofer, M.T., Van Veen, E.-B. and Holzinger, A. (2021) ‘The Ten Commandments of Ethical Medical AI’, </w:t>
      </w:r>
      <w:r w:rsidRPr="003967B8">
        <w:rPr>
          <w:rFonts w:ascii="Calibri" w:hAnsi="Calibri" w:cs="Calibri"/>
          <w:i/>
          <w:iCs/>
        </w:rPr>
        <w:t>Computer</w:t>
      </w:r>
      <w:r w:rsidRPr="003967B8">
        <w:rPr>
          <w:rFonts w:ascii="Calibri" w:hAnsi="Calibri" w:cs="Calibri"/>
        </w:rPr>
        <w:t>, 54(7), pp. 119–123. Available from: https://doi.org/10.1109/MC.2021.3074263.</w:t>
      </w:r>
    </w:p>
    <w:p w:rsidR="003967B8" w:rsidRPr="003967B8" w:rsidRDefault="003967B8" w:rsidP="003967B8">
      <w:pPr>
        <w:pStyle w:val="Bibliography"/>
        <w:rPr>
          <w:rFonts w:ascii="Calibri" w:hAnsi="Calibri" w:cs="Calibri"/>
        </w:rPr>
      </w:pPr>
      <w:r w:rsidRPr="003967B8">
        <w:rPr>
          <w:rFonts w:ascii="Calibri" w:hAnsi="Calibri" w:cs="Calibri"/>
        </w:rPr>
        <w:t xml:space="preserve">Petch, J., Di, S. and Nelson, W. (2022) ‘Opening the Black Box: The Promise and Limitations of Explainable Machine Learning in Cardiology’, </w:t>
      </w:r>
      <w:r w:rsidRPr="003967B8">
        <w:rPr>
          <w:rFonts w:ascii="Calibri" w:hAnsi="Calibri" w:cs="Calibri"/>
          <w:i/>
          <w:iCs/>
        </w:rPr>
        <w:t>Canadian Journal of Cardiology</w:t>
      </w:r>
      <w:r w:rsidRPr="003967B8">
        <w:rPr>
          <w:rFonts w:ascii="Calibri" w:hAnsi="Calibri" w:cs="Calibri"/>
        </w:rPr>
        <w:t>, 38(2), pp. 204–213. Available from: https://doi.org/10.1016/j.cjca.2021.09.004.</w:t>
      </w:r>
    </w:p>
    <w:p w:rsidR="003967B8" w:rsidRPr="003967B8" w:rsidRDefault="003967B8" w:rsidP="003967B8">
      <w:pPr>
        <w:pStyle w:val="Bibliography"/>
        <w:rPr>
          <w:rFonts w:ascii="Calibri" w:hAnsi="Calibri" w:cs="Calibri"/>
        </w:rPr>
      </w:pPr>
      <w:r w:rsidRPr="003967B8">
        <w:rPr>
          <w:rFonts w:ascii="Calibri" w:hAnsi="Calibri" w:cs="Calibri"/>
        </w:rPr>
        <w:t xml:space="preserve">Russel, S. and Norvig, P. (2021) </w:t>
      </w:r>
      <w:r w:rsidRPr="003967B8">
        <w:rPr>
          <w:rFonts w:ascii="Calibri" w:hAnsi="Calibri" w:cs="Calibri"/>
          <w:i/>
          <w:iCs/>
        </w:rPr>
        <w:t>Artificial intelligence: A modern approach</w:t>
      </w:r>
      <w:r w:rsidRPr="003967B8">
        <w:rPr>
          <w:rFonts w:ascii="Calibri" w:hAnsi="Calibri" w:cs="Calibri"/>
        </w:rPr>
        <w:t>. Global Edition. Pearson Higher Education.</w:t>
      </w:r>
    </w:p>
    <w:p w:rsidR="003967B8" w:rsidRPr="003967B8" w:rsidRDefault="003967B8" w:rsidP="003967B8">
      <w:pPr>
        <w:pStyle w:val="Bibliography"/>
        <w:rPr>
          <w:rFonts w:ascii="Calibri" w:hAnsi="Calibri" w:cs="Calibri"/>
        </w:rPr>
      </w:pPr>
      <w:r w:rsidRPr="003967B8">
        <w:rPr>
          <w:rFonts w:ascii="Calibri" w:hAnsi="Calibri" w:cs="Calibri"/>
        </w:rPr>
        <w:t xml:space="preserve">Segar, M.W. et al. (2020) ‘Phenomapping of patients with heart failure with preserved ejection fraction using machine learning-based unsupervised cluster analysis’, </w:t>
      </w:r>
      <w:r w:rsidRPr="003967B8">
        <w:rPr>
          <w:rFonts w:ascii="Calibri" w:hAnsi="Calibri" w:cs="Calibri"/>
          <w:i/>
          <w:iCs/>
        </w:rPr>
        <w:t>European Journal of Heart Failure</w:t>
      </w:r>
      <w:r w:rsidRPr="003967B8">
        <w:rPr>
          <w:rFonts w:ascii="Calibri" w:hAnsi="Calibri" w:cs="Calibri"/>
        </w:rPr>
        <w:t>, 22(1), pp. 148–158. Available from: https://doi.org/10.1002/ejhf.1621.</w:t>
      </w:r>
    </w:p>
    <w:p w:rsidR="003967B8" w:rsidRPr="003967B8" w:rsidRDefault="003967B8" w:rsidP="003967B8">
      <w:pPr>
        <w:pStyle w:val="Bibliography"/>
        <w:rPr>
          <w:rFonts w:ascii="Calibri" w:hAnsi="Calibri" w:cs="Calibri"/>
        </w:rPr>
      </w:pPr>
      <w:r w:rsidRPr="003967B8">
        <w:rPr>
          <w:rFonts w:ascii="Calibri" w:hAnsi="Calibri" w:cs="Calibri"/>
        </w:rPr>
        <w:t xml:space="preserve">Tschoellitsch, T. et al. (2023) ‘Using emergency department triage for machine learning-based admission and mortality prediction’, </w:t>
      </w:r>
      <w:r w:rsidRPr="003967B8">
        <w:rPr>
          <w:rFonts w:ascii="Calibri" w:hAnsi="Calibri" w:cs="Calibri"/>
          <w:i/>
          <w:iCs/>
        </w:rPr>
        <w:t>European Journal of Emergency Medicine</w:t>
      </w:r>
      <w:r w:rsidRPr="003967B8">
        <w:rPr>
          <w:rFonts w:ascii="Calibri" w:hAnsi="Calibri" w:cs="Calibri"/>
        </w:rPr>
        <w:t>, 30(6), pp. 408–416. Available from: https://doi.org/10.1097/MEJ.0000000000001068.</w:t>
      </w:r>
    </w:p>
    <w:p w:rsidR="003967B8" w:rsidRPr="003967B8" w:rsidRDefault="003967B8" w:rsidP="003967B8">
      <w:pPr>
        <w:pStyle w:val="Bibliography"/>
        <w:rPr>
          <w:rFonts w:ascii="Calibri" w:hAnsi="Calibri" w:cs="Calibri"/>
        </w:rPr>
      </w:pPr>
      <w:r w:rsidRPr="003967B8">
        <w:rPr>
          <w:rFonts w:ascii="Calibri" w:hAnsi="Calibri" w:cs="Calibri"/>
        </w:rPr>
        <w:t xml:space="preserve">Weidener, L. and Fischer, M. (2024) ‘Role of Ethics in Developing AI-Based Applications in Medicine: Insights From Expert Interviews and Discussion of Implications’, </w:t>
      </w:r>
      <w:r w:rsidRPr="003967B8">
        <w:rPr>
          <w:rFonts w:ascii="Calibri" w:hAnsi="Calibri" w:cs="Calibri"/>
          <w:i/>
          <w:iCs/>
        </w:rPr>
        <w:t>JMIR AI</w:t>
      </w:r>
      <w:r w:rsidRPr="003967B8">
        <w:rPr>
          <w:rFonts w:ascii="Calibri" w:hAnsi="Calibri" w:cs="Calibri"/>
        </w:rPr>
        <w:t>, 3, p. e51204. Available from: https://doi.org/10.2196/51204.</w:t>
      </w:r>
    </w:p>
    <w:p w:rsidR="003967B8" w:rsidRDefault="003967B8" w:rsidP="00BC5E7D">
      <w:pPr>
        <w:jc w:val="both"/>
      </w:pPr>
      <w:r>
        <w:fldChar w:fldCharType="end"/>
      </w:r>
    </w:p>
    <w:sectPr w:rsidR="00396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AB"/>
    <w:rsid w:val="00106A73"/>
    <w:rsid w:val="003967B8"/>
    <w:rsid w:val="006447AB"/>
    <w:rsid w:val="006C627E"/>
    <w:rsid w:val="009A6C45"/>
    <w:rsid w:val="009D48F4"/>
    <w:rsid w:val="00A83F8E"/>
    <w:rsid w:val="00BC5E7D"/>
    <w:rsid w:val="00CE1286"/>
    <w:rsid w:val="00D01FF5"/>
    <w:rsid w:val="00D51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CA05"/>
  <w15:chartTrackingRefBased/>
  <w15:docId w15:val="{E145B28F-88EC-405C-9BC3-946010F2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47AB"/>
    <w:rPr>
      <w:sz w:val="16"/>
      <w:szCs w:val="16"/>
    </w:rPr>
  </w:style>
  <w:style w:type="paragraph" w:styleId="CommentText">
    <w:name w:val="annotation text"/>
    <w:basedOn w:val="Normal"/>
    <w:link w:val="CommentTextChar"/>
    <w:uiPriority w:val="99"/>
    <w:semiHidden/>
    <w:unhideWhenUsed/>
    <w:rsid w:val="006447AB"/>
    <w:pPr>
      <w:spacing w:line="240" w:lineRule="auto"/>
    </w:pPr>
    <w:rPr>
      <w:sz w:val="20"/>
      <w:szCs w:val="20"/>
    </w:rPr>
  </w:style>
  <w:style w:type="character" w:customStyle="1" w:styleId="CommentTextChar">
    <w:name w:val="Comment Text Char"/>
    <w:basedOn w:val="DefaultParagraphFont"/>
    <w:link w:val="CommentText"/>
    <w:uiPriority w:val="99"/>
    <w:semiHidden/>
    <w:rsid w:val="006447AB"/>
    <w:rPr>
      <w:sz w:val="20"/>
      <w:szCs w:val="20"/>
    </w:rPr>
  </w:style>
  <w:style w:type="paragraph" w:styleId="CommentSubject">
    <w:name w:val="annotation subject"/>
    <w:basedOn w:val="CommentText"/>
    <w:next w:val="CommentText"/>
    <w:link w:val="CommentSubjectChar"/>
    <w:uiPriority w:val="99"/>
    <w:semiHidden/>
    <w:unhideWhenUsed/>
    <w:rsid w:val="006447AB"/>
    <w:rPr>
      <w:b/>
      <w:bCs/>
    </w:rPr>
  </w:style>
  <w:style w:type="character" w:customStyle="1" w:styleId="CommentSubjectChar">
    <w:name w:val="Comment Subject Char"/>
    <w:basedOn w:val="CommentTextChar"/>
    <w:link w:val="CommentSubject"/>
    <w:uiPriority w:val="99"/>
    <w:semiHidden/>
    <w:rsid w:val="006447AB"/>
    <w:rPr>
      <w:b/>
      <w:bCs/>
      <w:sz w:val="20"/>
      <w:szCs w:val="20"/>
    </w:rPr>
  </w:style>
  <w:style w:type="paragraph" w:styleId="BalloonText">
    <w:name w:val="Balloon Text"/>
    <w:basedOn w:val="Normal"/>
    <w:link w:val="BalloonTextChar"/>
    <w:uiPriority w:val="99"/>
    <w:semiHidden/>
    <w:unhideWhenUsed/>
    <w:rsid w:val="00644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7AB"/>
    <w:rPr>
      <w:rFonts w:ascii="Segoe UI" w:hAnsi="Segoe UI" w:cs="Segoe UI"/>
      <w:sz w:val="18"/>
      <w:szCs w:val="18"/>
    </w:rPr>
  </w:style>
  <w:style w:type="character" w:styleId="Hyperlink">
    <w:name w:val="Hyperlink"/>
    <w:basedOn w:val="DefaultParagraphFont"/>
    <w:uiPriority w:val="99"/>
    <w:unhideWhenUsed/>
    <w:rsid w:val="006447AB"/>
    <w:rPr>
      <w:color w:val="0563C1" w:themeColor="hyperlink"/>
      <w:u w:val="single"/>
    </w:rPr>
  </w:style>
  <w:style w:type="character" w:customStyle="1" w:styleId="ref-title">
    <w:name w:val="ref-title"/>
    <w:basedOn w:val="DefaultParagraphFont"/>
    <w:rsid w:val="006447AB"/>
  </w:style>
  <w:style w:type="character" w:styleId="Emphasis">
    <w:name w:val="Emphasis"/>
    <w:basedOn w:val="DefaultParagraphFont"/>
    <w:uiPriority w:val="20"/>
    <w:qFormat/>
    <w:rsid w:val="006447AB"/>
    <w:rPr>
      <w:i/>
      <w:iCs/>
    </w:rPr>
  </w:style>
  <w:style w:type="character" w:customStyle="1" w:styleId="mixed-citation">
    <w:name w:val="mixed-citation"/>
    <w:basedOn w:val="DefaultParagraphFont"/>
    <w:rsid w:val="006447AB"/>
  </w:style>
  <w:style w:type="character" w:customStyle="1" w:styleId="ref-journal">
    <w:name w:val="ref-journal"/>
    <w:basedOn w:val="DefaultParagraphFont"/>
    <w:rsid w:val="006447AB"/>
  </w:style>
  <w:style w:type="character" w:customStyle="1" w:styleId="ref-vol">
    <w:name w:val="ref-vol"/>
    <w:basedOn w:val="DefaultParagraphFont"/>
    <w:rsid w:val="006447AB"/>
  </w:style>
  <w:style w:type="paragraph" w:styleId="Bibliography">
    <w:name w:val="Bibliography"/>
    <w:basedOn w:val="Normal"/>
    <w:next w:val="Normal"/>
    <w:uiPriority w:val="37"/>
    <w:unhideWhenUsed/>
    <w:rsid w:val="003967B8"/>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569070">
      <w:bodyDiv w:val="1"/>
      <w:marLeft w:val="0"/>
      <w:marRight w:val="0"/>
      <w:marTop w:val="0"/>
      <w:marBottom w:val="0"/>
      <w:divBdr>
        <w:top w:val="none" w:sz="0" w:space="0" w:color="auto"/>
        <w:left w:val="none" w:sz="0" w:space="0" w:color="auto"/>
        <w:bottom w:val="none" w:sz="0" w:space="0" w:color="auto"/>
        <w:right w:val="none" w:sz="0" w:space="0" w:color="auto"/>
      </w:divBdr>
    </w:div>
    <w:div w:id="1554388283">
      <w:bodyDiv w:val="1"/>
      <w:marLeft w:val="0"/>
      <w:marRight w:val="0"/>
      <w:marTop w:val="0"/>
      <w:marBottom w:val="0"/>
      <w:divBdr>
        <w:top w:val="none" w:sz="0" w:space="0" w:color="auto"/>
        <w:left w:val="none" w:sz="0" w:space="0" w:color="auto"/>
        <w:bottom w:val="none" w:sz="0" w:space="0" w:color="auto"/>
        <w:right w:val="none" w:sz="0" w:space="0" w:color="auto"/>
      </w:divBdr>
    </w:div>
    <w:div w:id="208267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4183</Words>
  <Characters>23846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1</cp:revision>
  <dcterms:created xsi:type="dcterms:W3CDTF">2024-06-12T20:13:00Z</dcterms:created>
  <dcterms:modified xsi:type="dcterms:W3CDTF">2024-06-12T21:28:00Z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id="GXZ0LyFw"/&gt;&lt;style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