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F8E" w:rsidRPr="00502078" w:rsidRDefault="00EC0E0F" w:rsidP="00502078">
      <w:pPr>
        <w:jc w:val="center"/>
        <w:rPr>
          <w:b/>
        </w:rPr>
      </w:pPr>
      <w:bookmarkStart w:id="0" w:name="_GoBack"/>
      <w:bookmarkEnd w:id="0"/>
      <w:r w:rsidRPr="00502078">
        <w:rPr>
          <w:b/>
        </w:rPr>
        <w:t>Peer response 3</w:t>
      </w:r>
    </w:p>
    <w:p w:rsidR="00EC0E0F" w:rsidRDefault="00810F36" w:rsidP="00810F36">
      <w:pPr>
        <w:jc w:val="both"/>
      </w:pPr>
      <w:r>
        <w:t xml:space="preserve">Jafar describes an IT crash at the Royal Bank of Scotland to highlight the potential challenges and risks created by the increased adoption of information technology. The overnight crash led to approximately 600,000 payments being missed, and was only resolved one week later </w:t>
      </w:r>
      <w:r>
        <w:fldChar w:fldCharType="begin"/>
      </w:r>
      <w:r>
        <w:instrText xml:space="preserve"> ADDIN ZOTERO_ITEM CSL_CITATION {"citationID":"euJ95sLc","properties":{"formattedCitation":"(Peachey, 2015)","plainCitation":"(Peachey, 2015)","noteIndex":0},"citationItems":[{"id":20148,"uris":["http://zotero.org/users/5813034/items/Y8QVAGV4"],"itemData":{"id":20148,"type":"article-newspaper","container-title":"BBC News","title":"RBS payment failure could last days","URL":"https://www.bbc.com/news/business-33162855","author":[{"family":"Peachey","given":"K"}],"issued":{"date-parts":[["2015",6,17]]}}}],"schema":"https://github.com/citation-style-language/schema/raw/master/csl-citation.json"} </w:instrText>
      </w:r>
      <w:r>
        <w:fldChar w:fldCharType="separate"/>
      </w:r>
      <w:r w:rsidRPr="00810F36">
        <w:rPr>
          <w:rFonts w:ascii="Calibri" w:hAnsi="Calibri" w:cs="Calibri"/>
        </w:rPr>
        <w:t>(Peachey, 2015)</w:t>
      </w:r>
      <w:r>
        <w:fldChar w:fldCharType="end"/>
      </w:r>
      <w:r>
        <w:t>. Jafar outlines some of the damages caused by this outage, including financial hardship resulting from delayed payments for customers, and reputational and financial costs for the bank. Importantly, the bank had already been fined £56 million 3 years before for similar IT failures.</w:t>
      </w:r>
    </w:p>
    <w:p w:rsidR="00810F36" w:rsidRDefault="00810F36" w:rsidP="00810F36">
      <w:pPr>
        <w:jc w:val="both"/>
      </w:pPr>
      <w:r>
        <w:t xml:space="preserve">Adoption of information technology offers many potential benefits, particularly in the banking sector, including higher resistance to systemic risks and better asset performance </w:t>
      </w:r>
      <w:r>
        <w:fldChar w:fldCharType="begin"/>
      </w:r>
      <w:r>
        <w:instrText xml:space="preserve"> ADDIN ZOTERO_ITEM CSL_CITATION {"citationID":"i0HtunO8","properties":{"formattedCitation":"(Pierri and Timmer, 2022)","plainCitation":"(Pierri and Timmer, 2022)","noteIndex":0},"citationItems":[{"id":20144,"uris":["http://zotero.org/users/5813034/items/IFL45QII"],"itemData":{"id":20144,"type":"article-journal","container-title":"Journal of Monetary Economics","DOI":"10.1016/j.jmoneco.2022.04.001","ISSN":"03043932","journalAbbreviation":"Journal of Monetary Economics","language":"en","page":"88-104","source":"DOI.org (Crossref)","title":"The importance of technology in banking during a crisis","volume":"128","author":[{"family":"Pierri","given":"Nicola"},{"family":"Timmer","given":"Yannick"}],"issued":{"date-parts":[["2022",5]]}}}],"schema":"https://github.com/citation-style-language/schema/raw/master/csl-citation.json"} </w:instrText>
      </w:r>
      <w:r>
        <w:fldChar w:fldCharType="separate"/>
      </w:r>
      <w:r w:rsidRPr="00810F36">
        <w:rPr>
          <w:rFonts w:ascii="Calibri" w:hAnsi="Calibri" w:cs="Calibri"/>
        </w:rPr>
        <w:t>(Pierri and Timmer, 2022)</w:t>
      </w:r>
      <w:r>
        <w:fldChar w:fldCharType="end"/>
      </w:r>
      <w:r>
        <w:t xml:space="preserve">. Nonetheless, this example illustrates many of the potential risks associated with Industry 4.0, namely the reliance on information technology systems to handle large amounts of critical processes such as financial transactions. Such systems must be safe, robust, and transparent </w:t>
      </w:r>
      <w:r>
        <w:fldChar w:fldCharType="begin"/>
      </w:r>
      <w:r>
        <w:instrText xml:space="preserve"> ADDIN ZOTERO_ITEM CSL_CITATION {"citationID":"wqb4QNA7","properties":{"formattedCitation":"(Ali et al., 2022)","plainCitation":"(Ali et al., 2022)","noteIndex":0},"citationItems":[{"id":20149,"uris":["http://zotero.org/users/5813034/items/7CSCTIWJ"],"itemData":{"id":20149,"type":"article-journal","abstract":"The increasing use of Information Technology (IT) has led to many security and other related failures in the banks and other financial institutions in Bangladesh. In this paper, we investigated the factors contributing to the failurein the IT system of the banking industry in Bangladesh. Based on the experts’ opinions and weight on the specified evaluating criteria, an empirical test was conducted using a rough set theory to produce a framework for the IT system failure factors. In this study, an extended approach involving the integration of rough set theory based flexible Failure Mode and Effect Analysis (FMEA) and the Technique for Order of Preference by Similarity to Ideal Solution (TOPSIS) has beenapplied to help the managers of the corresponding field to identify the factors responsible for the failure of the IT system in the banking industries and then prioritize them accordingly, for the ease of decision-making.In this research, eleven such failure factors were identified, which were then quantitatively analyzed to facilitate managers in crucial decision-making. It was observed that cyber-attack, database hack risks, server failure, network interruption, broadcast data error, and virus effect were the most significant factors for the failure of the IT system. The framework developed in this research can be utilized to assist in efficient decision-makingin other serviceindustries where IT systems play a key role. To the best of the knowledge, this is the first study thatempirically tested key failure factors of the IT system for the banking sector using an integrated method.","container-title":"PLOS ONE","DOI":"10.1371/journal.pone.0265674","ISSN":"1932-6203","issue":"3","journalAbbreviation":"PLoS ONE","language":"en","page":"e0265674","source":"DOI.org (Crossref)","title":"Evaluating factors contributing to the failure of information system in the banking industry","volume":"17","author":[{"family":"Ali","given":"Syed Mithun"},{"family":"Hoq","given":"S. M. Nazmul"},{"family":"Bari","given":"A. B. M. Mainul"},{"family":"Kabir","given":"Golam"},{"family":"Paul","given":"Sanjoy Kumar"}],"editor":[{"family":"Cavallaro","given":"Fausto"}],"issued":{"date-parts":[["2022",3,17]]}}}],"schema":"https://github.com/citation-style-language/schema/raw/master/csl-citation.json"} </w:instrText>
      </w:r>
      <w:r>
        <w:fldChar w:fldCharType="separate"/>
      </w:r>
      <w:r w:rsidRPr="00810F36">
        <w:rPr>
          <w:rFonts w:ascii="Calibri" w:hAnsi="Calibri" w:cs="Calibri"/>
        </w:rPr>
        <w:t>(Ali et al., 2022)</w:t>
      </w:r>
      <w:r>
        <w:fldChar w:fldCharType="end"/>
      </w:r>
      <w:r>
        <w:t xml:space="preserve">. They also require constant updating and optimisation in the face of increasing data volumes, speed, and complexity, as well as ever-evolving cybersecurity threats, and these standards must be upheld and safeguarded by the relevant regulators </w:t>
      </w:r>
      <w:r>
        <w:fldChar w:fldCharType="begin"/>
      </w:r>
      <w:r>
        <w:instrText xml:space="preserve"> ADDIN ZOTERO_ITEM CSL_CITATION {"citationID":"ylqKd1cF","properties":{"formattedCitation":"(Mathias et al., 2024)","plainCitation":"(Mathias et al., 2024)","noteIndex":0},"citationItems":[{"id":20137,"uris":["http://zotero.org/users/5813034/items/M8EPKWU9"],"itemData":{"id":20137,"type":"article-journal","container-title":"npj Digital Medicine","DOI":"10.1038/s41746-024-01147-z","ISSN":"2398-6352","issue":"1","journalAbbreviation":"npj Digit. Med.","language":"en","page":"148","source":"DOI.org (Crossref)","title":"Digital health technologies need regulation and reimbursement that enable flexible interactions and groupings","volume":"7","author":[{"family":"Mathias","given":"Rebecca"},{"family":"McCulloch","given":"Peter"},{"family":"Chalkidou","given":"Anastasia"},{"family":"Gilbert","given":"Stephen"}],"issued":{"date-parts":[["2024",6,18]]}}}],"schema":"https://github.com/citation-style-language/schema/raw/master/csl-citation.json"} </w:instrText>
      </w:r>
      <w:r>
        <w:fldChar w:fldCharType="separate"/>
      </w:r>
      <w:r w:rsidRPr="00810F36">
        <w:rPr>
          <w:rFonts w:ascii="Calibri" w:hAnsi="Calibri" w:cs="Calibri"/>
        </w:rPr>
        <w:t>(Mathias et al., 2024)</w:t>
      </w:r>
      <w:r>
        <w:fldChar w:fldCharType="end"/>
      </w:r>
      <w:r>
        <w:t xml:space="preserve">. </w:t>
      </w:r>
    </w:p>
    <w:p w:rsidR="00810F36" w:rsidRDefault="00810F36" w:rsidP="00810F36">
      <w:pPr>
        <w:jc w:val="both"/>
      </w:pPr>
      <w:r>
        <w:t xml:space="preserve">The repeat RBS IT failure highlights the drastic impacts of both negligence and poor accountability within the financial sector, and a lack of effective regulatory action. Preventing further repetitions of this incident requires a strong commitment to IT integrity and security by companies handling large amounts of financial transactions, namely through appropriate design approaches, stress-testing, and deployment of back-up systems </w:t>
      </w:r>
      <w:r>
        <w:fldChar w:fldCharType="begin"/>
      </w:r>
      <w:r>
        <w:instrText xml:space="preserve"> ADDIN ZOTERO_ITEM CSL_CITATION {"citationID":"MNMUE9M5","properties":{"formattedCitation":"(Verma, 2024)","plainCitation":"(Verma, 2024)","noteIndex":0},"citationItems":[{"id":20146,"uris":["http://zotero.org/users/5813034/items/5R95F3VF"],"itemData":{"id":20146,"type":"post-weblog","title":"Building Robust Systems: Strategic Insights into Architecture and Critical Design Features","URL":"https://medium.com/@amitvsolutions/building-robust-systems-strategic-insights-into-architecture-and-critical-design-features-227d4a4c41e8","author":[{"family":"Verma","given":"A"}],"issued":{"date-parts":[["2024",8,8]]}}}],"schema":"https://github.com/citation-style-language/schema/raw/master/csl-citation.json"} </w:instrText>
      </w:r>
      <w:r>
        <w:fldChar w:fldCharType="separate"/>
      </w:r>
      <w:r w:rsidRPr="00810F36">
        <w:rPr>
          <w:rFonts w:ascii="Calibri" w:hAnsi="Calibri" w:cs="Calibri"/>
        </w:rPr>
        <w:t>(Verma, 2024)</w:t>
      </w:r>
      <w:r>
        <w:fldChar w:fldCharType="end"/>
      </w:r>
      <w:r>
        <w:t xml:space="preserve">. At the same time, appropriate regulatory oversight is also required through preventive measures together with strong and consequential action once issues are found, which could have prevented the repeat failure </w:t>
      </w:r>
      <w:r>
        <w:t xml:space="preserve">seen in this </w:t>
      </w:r>
      <w:r>
        <w:t xml:space="preserve">example and its severe consequences </w:t>
      </w:r>
      <w:r>
        <w:fldChar w:fldCharType="begin"/>
      </w:r>
      <w:r>
        <w:instrText xml:space="preserve"> ADDIN ZOTERO_ITEM CSL_CITATION {"citationID":"NfEk0iLT","properties":{"formattedCitation":"(Vives, 2019)","plainCitation":"(Vives, 2019)","noteIndex":0},"citationItems":[{"id":20147,"uris":["http://zotero.org/users/5813034/items/TVMZJM79"],"itemData":{"id":20147,"type":"article-journal","abstract":"This review surveys technological disruption in banking, examining its impact on competition and its potential to increase efficiency and customer welfare. It analyzes the possible strategies of the players involved—incumbents and FinTech and BigTech firms—and the role of regulation. The industry is facing radical transformation and restructuring, as well as a move toward a customer-centric platform-based model. Competition will increase as new players enter the industry, but the long-term impact is more open. Regulation will decisively influence to what extent BigTech will enter the industry and who the dominant players will be. The challenge for regulators will be to keep a level playing field that strikes the right balance between fostering innovation and preserving financial stability. Consumer protection concerns rise to the forefront.","container-title":"Annual Review of Financial Economics","DOI":"10.1146/annurev-financial-100719-120854","ISSN":"1941-1367, 1941-1375","issue":"1","journalAbbreviation":"Annu. Rev. Financ. Econ.","language":"en","page":"243-272","source":"DOI.org (Crossref)","title":"Digital Disruption in Banking","volume":"11","author":[{"family":"Vives","given":"Xavier"}],"issued":{"date-parts":[["2019",12,26]]}}}],"schema":"https://github.com/citation-style-language/schema/raw/master/csl-citation.json"} </w:instrText>
      </w:r>
      <w:r>
        <w:fldChar w:fldCharType="separate"/>
      </w:r>
      <w:r w:rsidRPr="00810F36">
        <w:rPr>
          <w:rFonts w:ascii="Calibri" w:hAnsi="Calibri" w:cs="Calibri"/>
        </w:rPr>
        <w:t>(Vives, 2019)</w:t>
      </w:r>
      <w:r>
        <w:fldChar w:fldCharType="end"/>
      </w:r>
      <w:r>
        <w:t>.</w:t>
      </w:r>
    </w:p>
    <w:p w:rsidR="00810F36" w:rsidRDefault="00810F36" w:rsidP="00810F36">
      <w:pPr>
        <w:jc w:val="both"/>
      </w:pPr>
      <w:r>
        <w:t>--------------------------------------</w:t>
      </w:r>
    </w:p>
    <w:p w:rsidR="00810F36" w:rsidRDefault="00810F36" w:rsidP="00810F36">
      <w:pPr>
        <w:jc w:val="both"/>
      </w:pPr>
      <w:r>
        <w:t>References:</w:t>
      </w:r>
    </w:p>
    <w:p w:rsidR="00504765" w:rsidRPr="00504765" w:rsidRDefault="00810F36" w:rsidP="00504765">
      <w:pPr>
        <w:pStyle w:val="Bibliography"/>
        <w:rPr>
          <w:rFonts w:ascii="Calibri" w:hAnsi="Calibri" w:cs="Calibri"/>
        </w:rPr>
      </w:pPr>
      <w:r>
        <w:fldChar w:fldCharType="begin"/>
      </w:r>
      <w:r w:rsidR="00504765">
        <w:instrText xml:space="preserve"> ADDIN ZOTERO_BIBL {"uncited":[],"omitted":[],"custom":[]} CSL_BIBLIOGRAPHY </w:instrText>
      </w:r>
      <w:r>
        <w:fldChar w:fldCharType="separate"/>
      </w:r>
      <w:r w:rsidR="00504765" w:rsidRPr="00504765">
        <w:rPr>
          <w:rFonts w:ascii="Calibri" w:hAnsi="Calibri" w:cs="Calibri"/>
        </w:rPr>
        <w:t xml:space="preserve">Ali, S.M., Hoq, S.M.N., Bari, A.B.M.M., Kabir, G. &amp; Paul, S.K. (2022) ‘Evaluating factors contributing to the failure of information system in the banking industry’, </w:t>
      </w:r>
      <w:r w:rsidR="00504765" w:rsidRPr="00504765">
        <w:rPr>
          <w:rFonts w:ascii="Calibri" w:hAnsi="Calibri" w:cs="Calibri"/>
          <w:i/>
          <w:iCs/>
        </w:rPr>
        <w:t>PLOS ONE</w:t>
      </w:r>
      <w:r w:rsidR="00504765" w:rsidRPr="00504765">
        <w:rPr>
          <w:rFonts w:ascii="Calibri" w:hAnsi="Calibri" w:cs="Calibri"/>
        </w:rPr>
        <w:t>. Edited by F. Cavallaro, 17(3), p. e0265674. Available from: https://doi.org/10.1371/journal.pone.0265674.</w:t>
      </w:r>
    </w:p>
    <w:p w:rsidR="00504765" w:rsidRPr="00504765" w:rsidRDefault="00504765" w:rsidP="00504765">
      <w:pPr>
        <w:pStyle w:val="Bibliography"/>
        <w:rPr>
          <w:rFonts w:ascii="Calibri" w:hAnsi="Calibri" w:cs="Calibri"/>
        </w:rPr>
      </w:pPr>
      <w:r w:rsidRPr="00504765">
        <w:rPr>
          <w:rFonts w:ascii="Calibri" w:hAnsi="Calibri" w:cs="Calibri"/>
        </w:rPr>
        <w:t xml:space="preserve">Mathias, R., McCulloch, P., Chalkidou, A. &amp; Gilbert, S. (2024) ‘Digital health technologies need regulation and reimbursement that enable flexible interactions and groupings’, </w:t>
      </w:r>
      <w:r w:rsidRPr="00504765">
        <w:rPr>
          <w:rFonts w:ascii="Calibri" w:hAnsi="Calibri" w:cs="Calibri"/>
          <w:i/>
          <w:iCs/>
        </w:rPr>
        <w:t>npj Digital Medicine</w:t>
      </w:r>
      <w:r w:rsidRPr="00504765">
        <w:rPr>
          <w:rFonts w:ascii="Calibri" w:hAnsi="Calibri" w:cs="Calibri"/>
        </w:rPr>
        <w:t>, 7(1), p. 148. Available from: https://doi.org/10.1038/s41746-024-01147-z.</w:t>
      </w:r>
    </w:p>
    <w:p w:rsidR="00504765" w:rsidRPr="00504765" w:rsidRDefault="00504765" w:rsidP="00504765">
      <w:pPr>
        <w:pStyle w:val="Bibliography"/>
        <w:rPr>
          <w:rFonts w:ascii="Calibri" w:hAnsi="Calibri" w:cs="Calibri"/>
        </w:rPr>
      </w:pPr>
      <w:r w:rsidRPr="00504765">
        <w:rPr>
          <w:rFonts w:ascii="Calibri" w:hAnsi="Calibri" w:cs="Calibri"/>
        </w:rPr>
        <w:t xml:space="preserve">Peachey, K. (2015) ‘RBS payment failure could last days’, </w:t>
      </w:r>
      <w:r w:rsidRPr="00504765">
        <w:rPr>
          <w:rFonts w:ascii="Calibri" w:hAnsi="Calibri" w:cs="Calibri"/>
          <w:i/>
          <w:iCs/>
        </w:rPr>
        <w:t>BBC News</w:t>
      </w:r>
      <w:r w:rsidRPr="00504765">
        <w:rPr>
          <w:rFonts w:ascii="Calibri" w:hAnsi="Calibri" w:cs="Calibri"/>
        </w:rPr>
        <w:t>, 17 June. Available from: https://www.bbc.com/news/business-33162855.</w:t>
      </w:r>
    </w:p>
    <w:p w:rsidR="00504765" w:rsidRPr="00504765" w:rsidRDefault="00504765" w:rsidP="00504765">
      <w:pPr>
        <w:pStyle w:val="Bibliography"/>
        <w:rPr>
          <w:rFonts w:ascii="Calibri" w:hAnsi="Calibri" w:cs="Calibri"/>
        </w:rPr>
      </w:pPr>
      <w:r w:rsidRPr="00504765">
        <w:rPr>
          <w:rFonts w:ascii="Calibri" w:hAnsi="Calibri" w:cs="Calibri"/>
        </w:rPr>
        <w:t xml:space="preserve">Pierri, N. &amp; Timmer, Y. (2022) ‘The importance of technology in banking during a crisis’, </w:t>
      </w:r>
      <w:r w:rsidRPr="00504765">
        <w:rPr>
          <w:rFonts w:ascii="Calibri" w:hAnsi="Calibri" w:cs="Calibri"/>
          <w:i/>
          <w:iCs/>
        </w:rPr>
        <w:t>Journal of Monetary Economics</w:t>
      </w:r>
      <w:r w:rsidRPr="00504765">
        <w:rPr>
          <w:rFonts w:ascii="Calibri" w:hAnsi="Calibri" w:cs="Calibri"/>
        </w:rPr>
        <w:t>, 128, pp. 88–104. Available from: https://doi.org/10.1016/j.jmoneco.2022.04.001.</w:t>
      </w:r>
    </w:p>
    <w:p w:rsidR="00504765" w:rsidRPr="00504765" w:rsidRDefault="00504765" w:rsidP="00504765">
      <w:pPr>
        <w:pStyle w:val="Bibliography"/>
        <w:rPr>
          <w:rFonts w:ascii="Calibri" w:hAnsi="Calibri" w:cs="Calibri"/>
        </w:rPr>
      </w:pPr>
      <w:r w:rsidRPr="00504765">
        <w:rPr>
          <w:rFonts w:ascii="Calibri" w:hAnsi="Calibri" w:cs="Calibri"/>
        </w:rPr>
        <w:t>Verma, A. (2024) ‘Building Robust Systems: Strategic Insights into Architecture and Critical Design Features’, 8 August. Available from: https://medium.com/@amitvsolutions/building-robust-systems-strategic-insights-into-architecture-and-critical-design-features-227d4a4c41e8.</w:t>
      </w:r>
    </w:p>
    <w:p w:rsidR="00504765" w:rsidRPr="00504765" w:rsidRDefault="00504765" w:rsidP="00504765">
      <w:pPr>
        <w:pStyle w:val="Bibliography"/>
        <w:rPr>
          <w:rFonts w:ascii="Calibri" w:hAnsi="Calibri" w:cs="Calibri"/>
        </w:rPr>
      </w:pPr>
      <w:r w:rsidRPr="00504765">
        <w:rPr>
          <w:rFonts w:ascii="Calibri" w:hAnsi="Calibri" w:cs="Calibri"/>
        </w:rPr>
        <w:t xml:space="preserve">Vives, X. (2019) ‘Digital Disruption in Banking’, </w:t>
      </w:r>
      <w:r w:rsidRPr="00504765">
        <w:rPr>
          <w:rFonts w:ascii="Calibri" w:hAnsi="Calibri" w:cs="Calibri"/>
          <w:i/>
          <w:iCs/>
        </w:rPr>
        <w:t>Annual Review of Financial Economics</w:t>
      </w:r>
      <w:r w:rsidRPr="00504765">
        <w:rPr>
          <w:rFonts w:ascii="Calibri" w:hAnsi="Calibri" w:cs="Calibri"/>
        </w:rPr>
        <w:t>, 11(1), pp. 243–272. Available from: https://doi.org/10.1146/annurev-financial-100719-120854.</w:t>
      </w:r>
    </w:p>
    <w:p w:rsidR="00810F36" w:rsidRPr="00810F36" w:rsidRDefault="00810F36" w:rsidP="00810F36">
      <w:pPr>
        <w:jc w:val="both"/>
      </w:pPr>
      <w:r>
        <w:lastRenderedPageBreak/>
        <w:fldChar w:fldCharType="end"/>
      </w:r>
    </w:p>
    <w:sectPr w:rsidR="00810F36" w:rsidRPr="00810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024"/>
    <w:rsid w:val="00106A73"/>
    <w:rsid w:val="0039666A"/>
    <w:rsid w:val="00502078"/>
    <w:rsid w:val="00504765"/>
    <w:rsid w:val="006C627E"/>
    <w:rsid w:val="00810F36"/>
    <w:rsid w:val="00A83F8E"/>
    <w:rsid w:val="00CA0024"/>
    <w:rsid w:val="00D01FF5"/>
    <w:rsid w:val="00EC0E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4EFCC"/>
  <w15:chartTrackingRefBased/>
  <w15:docId w15:val="{D3BAC2C1-862C-40CC-A84E-2E25B7992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E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810F36"/>
    <w:rPr>
      <w:sz w:val="16"/>
      <w:szCs w:val="16"/>
    </w:rPr>
  </w:style>
  <w:style w:type="paragraph" w:styleId="CommentText">
    <w:name w:val="annotation text"/>
    <w:basedOn w:val="Normal"/>
    <w:link w:val="CommentTextChar"/>
    <w:uiPriority w:val="99"/>
    <w:semiHidden/>
    <w:unhideWhenUsed/>
    <w:rsid w:val="00810F36"/>
    <w:pPr>
      <w:spacing w:line="240" w:lineRule="auto"/>
    </w:pPr>
    <w:rPr>
      <w:sz w:val="20"/>
      <w:szCs w:val="20"/>
    </w:rPr>
  </w:style>
  <w:style w:type="character" w:customStyle="1" w:styleId="CommentTextChar">
    <w:name w:val="Comment Text Char"/>
    <w:basedOn w:val="DefaultParagraphFont"/>
    <w:link w:val="CommentText"/>
    <w:uiPriority w:val="99"/>
    <w:semiHidden/>
    <w:rsid w:val="00810F36"/>
    <w:rPr>
      <w:sz w:val="20"/>
      <w:szCs w:val="20"/>
    </w:rPr>
  </w:style>
  <w:style w:type="paragraph" w:styleId="CommentSubject">
    <w:name w:val="annotation subject"/>
    <w:basedOn w:val="CommentText"/>
    <w:next w:val="CommentText"/>
    <w:link w:val="CommentSubjectChar"/>
    <w:uiPriority w:val="99"/>
    <w:semiHidden/>
    <w:unhideWhenUsed/>
    <w:rsid w:val="00810F36"/>
    <w:rPr>
      <w:b/>
      <w:bCs/>
    </w:rPr>
  </w:style>
  <w:style w:type="character" w:customStyle="1" w:styleId="CommentSubjectChar">
    <w:name w:val="Comment Subject Char"/>
    <w:basedOn w:val="CommentTextChar"/>
    <w:link w:val="CommentSubject"/>
    <w:uiPriority w:val="99"/>
    <w:semiHidden/>
    <w:rsid w:val="00810F36"/>
    <w:rPr>
      <w:b/>
      <w:bCs/>
      <w:sz w:val="20"/>
      <w:szCs w:val="20"/>
    </w:rPr>
  </w:style>
  <w:style w:type="paragraph" w:styleId="BalloonText">
    <w:name w:val="Balloon Text"/>
    <w:basedOn w:val="Normal"/>
    <w:link w:val="BalloonTextChar"/>
    <w:uiPriority w:val="99"/>
    <w:semiHidden/>
    <w:unhideWhenUsed/>
    <w:rsid w:val="00810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0F36"/>
    <w:rPr>
      <w:rFonts w:ascii="Segoe UI" w:hAnsi="Segoe UI" w:cs="Segoe UI"/>
      <w:sz w:val="18"/>
      <w:szCs w:val="18"/>
    </w:rPr>
  </w:style>
  <w:style w:type="paragraph" w:styleId="Bibliography">
    <w:name w:val="Bibliography"/>
    <w:basedOn w:val="Normal"/>
    <w:next w:val="Normal"/>
    <w:uiPriority w:val="37"/>
    <w:unhideWhenUsed/>
    <w:rsid w:val="00810F36"/>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45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1634</Words>
  <Characters>9320</Characters>
  <Application>Microsoft Office Word</Application>
  <DocSecurity>0</DocSecurity>
  <Lines>77</Lines>
  <Paragraphs>21</Paragraphs>
  <ScaleCrop>false</ScaleCrop>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6</cp:revision>
  <dcterms:created xsi:type="dcterms:W3CDTF">2024-11-03T11:57:00Z</dcterms:created>
  <dcterms:modified xsi:type="dcterms:W3CDTF">2024-11-03T14:37:00Z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id="64IRLN9f"/&gt;&lt;style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