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7C9A" w14:textId="659FAC37" w:rsidR="008356EB" w:rsidRPr="00A33471" w:rsidRDefault="00A33471">
      <w:pPr>
        <w:rPr>
          <w:b/>
          <w:bCs/>
          <w:lang w:val="pt-PT"/>
        </w:rPr>
      </w:pPr>
      <w:r w:rsidRPr="00A33471">
        <w:rPr>
          <w:b/>
          <w:bCs/>
          <w:lang w:val="pt-PT"/>
        </w:rPr>
        <w:t>Peer response – Georgios</w:t>
      </w:r>
    </w:p>
    <w:p w14:paraId="17DCBA1C" w14:textId="63F6DB84" w:rsidR="00A33471" w:rsidRPr="00A33471" w:rsidRDefault="00A33471" w:rsidP="004F5ED3">
      <w:pPr>
        <w:jc w:val="both"/>
      </w:pPr>
      <w:r w:rsidRPr="00A33471">
        <w:t xml:space="preserve">Georgios provides </w:t>
      </w:r>
      <w:r>
        <w:t xml:space="preserve">a balanced </w:t>
      </w:r>
      <w:r w:rsidRPr="00A33471">
        <w:t xml:space="preserve">overview of the ethical challenges surrounding deep learning applications, highlighting critical concerns such as lack of transparency, data privacy, and the difficulty of assigning accountability within complex AI systems </w:t>
      </w:r>
      <w:r w:rsidR="007A03D2">
        <w:fldChar w:fldCharType="begin"/>
      </w:r>
      <w:r w:rsidR="007A03D2">
        <w:instrText xml:space="preserve"> ADDIN ZOTERO_ITEM CSL_CITATION {"citationID":"N3Gj3zni","properties":{"formattedCitation":"(Cheong, 2024)","plainCitation":"(Cheong, 2024)","noteIndex":0},"citationItems":[{"id":277,"uris":["http://zotero.org/users/local/kYTWq1ZA/items/NQJZJ9D2"],"itemData":{"id":277,"type":"article-journal","abstract":"The rapid integration of artificial intelligence (AI) systems into various domains has raised concerns about their impact on individual and societal wellbeing, particularly due to the lack of transparency and accountability in their decision-making processes. This review aims to provide an overview of the key legal and ethical challenges associated with implementing transparency and accountability in AI systems. The review identifies four main thematic areas: technical approaches, legal and regulatory frameworks, ethical and societal considerations, and interdisciplinary and multi-stakeholder approaches. By synthesizing the current state of research and proposing key strategies for policymakers, this review contributes to the ongoing discourse on responsible AI governance and lays the foundation for future research in this critical area. Ultimately, the goal is to promote individual and societal wellbeing by ensuring that AI systems are developed and deployed in a transparent, accountable, and ethical manner.","container-title":"Frontiers in Human Dynamics","DOI":"10.3389/fhumd.2024.1421273","ISSN":"2673-2726","journalAbbreviation":"Front. Hum. Dyn.","language":"English","note":"publisher: Frontiers","source":"Frontiers","title":"Transparency and accountability in AI systems: safeguarding wellbeing in the age of algorithmic decision-making","title-short":"Transparency and accountability in AI systems","URL":"https://www.frontiersin.org/journals/human-dynamics/articles/10.3389/fhumd.2024.1421273/full","volume":"6","author":[{"family":"Cheong","given":"Ben Chester"}],"accessed":{"date-parts":[["2025",4,7]]},"issued":{"date-parts":[["2024",7,3]]}}}],"schema":"https://github.com/citation-style-language/schema/raw/master/csl-citation.json"} </w:instrText>
      </w:r>
      <w:r w:rsidR="007A03D2">
        <w:fldChar w:fldCharType="separate"/>
      </w:r>
      <w:r w:rsidR="007A03D2" w:rsidRPr="007A03D2">
        <w:rPr>
          <w:rFonts w:ascii="Aptos" w:hAnsi="Aptos"/>
        </w:rPr>
        <w:t>(Cheong, 2024)</w:t>
      </w:r>
      <w:r w:rsidR="007A03D2">
        <w:fldChar w:fldCharType="end"/>
      </w:r>
      <w:r w:rsidRPr="00A33471">
        <w:t>. Rodrigo’s response further emphasizes the urgency of these issues in the context of generative AI, particularly as it amplifies risks related to bias and the misuse of synthesized content</w:t>
      </w:r>
      <w:r w:rsidR="007A03D2">
        <w:t xml:space="preserve"> </w:t>
      </w:r>
      <w:r w:rsidR="007A03D2">
        <w:fldChar w:fldCharType="begin"/>
      </w:r>
      <w:r w:rsidR="007A03D2">
        <w:instrText xml:space="preserve"> ADDIN ZOTERO_ITEM CSL_CITATION {"citationID":"hP15RZvH","properties":{"formattedCitation":"(Al-kfairy {\\i{}et al.}, 2024)","plainCitation":"(Al-kfairy et al., 2024)","noteIndex":0},"citationItems":[{"id":279,"uris":["http://zotero.org/users/local/kYTWq1ZA/items/KV2T7UBB"],"itemData":{"id":279,"type":"article","abstract":"This paper provides a systematic review and analysis of the ethical challenges posed by generative artificial intelligence (AI), using an interdisciplinary approach. It highlights significant ethical concerns such as privacy, data protection, copyright infringement, misinformation, biases, and societal inequalities, all exacerbated by generative AI's ability to create highly realistic deepfakes and synthetic media that challenge the essence of truth, trust, and democratic values.   The study integrates perspectives from education, media, and healthcare to offer a comprehensive analysis of the ethical dilemmas associated with generative AI. It emphasizes the need for AI systems that are equitable and do not perpetuate societal inequalities, advocating for a proactive approach to ethical AI development. The paper underscores the importance of establishing policies, guidelines, and frameworks that prioritize human rights, fairness, and transparency.   It calls for a multidisciplinary dialogue among policymakers, technologists, and researchers to foster responsible AI development that aligns with societal values and ethical standards. This urgent analysis advocates for thoughtful responses to the ethical concerns raised by generative AI. The paper champions the development of generative AI technologies in a socially beneficial and ethically responsible manner, making a significant contribution to the discourse on navigating AI's ethical dimensions in today's digital landscape.","DOI":"10.2139/ssrn.4833030","event-place":"Rochester, NY","genre":"SSRN Scholarly Paper","language":"en","number":"4833030","publisher":"Social Science Research Network","publisher-place":"Rochester, NY","source":"papers.ssrn.com","title":"A Systematic Review and Analysis of Ethical Challenges of Generative Ai: An Interdisciplinary Perspective","title-short":"A Systematic Review and Analysis of Ethical Challenges of Generative Ai","URL":"https://papers.ssrn.com/abstract=4833030","author":[{"family":"Al-kfairy","given":"Mousa"},{"family":"Mustafa","given":"Dheya"},{"family":"Kshetri","given":"Nir"},{"family":"Insiew","given":"Mazen"},{"family":"Alfandi","given":"Omar"}],"accessed":{"date-parts":[["2025",4,7]]},"issued":{"date-parts":[["2024",5,18]]}}}],"schema":"https://github.com/citation-style-language/schema/raw/master/csl-citation.json"} </w:instrText>
      </w:r>
      <w:r w:rsidR="007A03D2">
        <w:fldChar w:fldCharType="separate"/>
      </w:r>
      <w:r w:rsidR="007A03D2" w:rsidRPr="007A03D2">
        <w:rPr>
          <w:rFonts w:ascii="Aptos" w:hAnsi="Aptos" w:cs="Times New Roman"/>
          <w:kern w:val="0"/>
        </w:rPr>
        <w:t>(Al-</w:t>
      </w:r>
      <w:proofErr w:type="spellStart"/>
      <w:r w:rsidR="007A03D2" w:rsidRPr="007A03D2">
        <w:rPr>
          <w:rFonts w:ascii="Aptos" w:hAnsi="Aptos" w:cs="Times New Roman"/>
          <w:kern w:val="0"/>
        </w:rPr>
        <w:t>kfairy</w:t>
      </w:r>
      <w:proofErr w:type="spellEnd"/>
      <w:r w:rsidR="007A03D2" w:rsidRPr="007A03D2">
        <w:rPr>
          <w:rFonts w:ascii="Aptos" w:hAnsi="Aptos" w:cs="Times New Roman"/>
          <w:kern w:val="0"/>
        </w:rPr>
        <w:t xml:space="preserve"> </w:t>
      </w:r>
      <w:r w:rsidR="007A03D2" w:rsidRPr="007A03D2">
        <w:rPr>
          <w:rFonts w:ascii="Aptos" w:hAnsi="Aptos" w:cs="Times New Roman"/>
          <w:i/>
          <w:iCs/>
          <w:kern w:val="0"/>
        </w:rPr>
        <w:t>et al.</w:t>
      </w:r>
      <w:r w:rsidR="007A03D2" w:rsidRPr="007A03D2">
        <w:rPr>
          <w:rFonts w:ascii="Aptos" w:hAnsi="Aptos" w:cs="Times New Roman"/>
          <w:kern w:val="0"/>
        </w:rPr>
        <w:t>, 2024)</w:t>
      </w:r>
      <w:r w:rsidR="007A03D2">
        <w:fldChar w:fldCharType="end"/>
      </w:r>
      <w:r w:rsidRPr="00A33471">
        <w:t xml:space="preserve">. Their observations reflect the broader dilemma facing AI development—namely, how to ensure ethical responsibility </w:t>
      </w:r>
      <w:r>
        <w:t xml:space="preserve">and accountability </w:t>
      </w:r>
      <w:r w:rsidRPr="00A33471">
        <w:t>in systems that often operate as “black boxes”</w:t>
      </w:r>
      <w:r w:rsidR="00FC5E04">
        <w:t xml:space="preserve"> </w:t>
      </w:r>
      <w:r w:rsidR="00FC5E04">
        <w:fldChar w:fldCharType="begin"/>
      </w:r>
      <w:r w:rsidR="00FC5E04">
        <w:instrText xml:space="preserve"> ADDIN ZOTERO_ITEM CSL_CITATION {"citationID":"lH2ySonX","properties":{"formattedCitation":"(Siebert {\\i{}et al.}, 2023)","plainCitation":"(Siebert et al., 2023)","noteIndex":0},"citationItems":[{"id":283,"uris":["http://zotero.org/users/local/kYTWq1ZA/items/JG3E2CAY"],"itemData":{"id":283,"type":"article-journal","abstract":"How can humans remain in control of artificial intelligence (AI)-based systems designed to perform tasks autonomously? Such systems are increasingly ubiquitous, creating benefits - but also undesirable situations where moral responsibility for their actions cannot be properly attributed to any particular person or group. The concept of meaningful human control has been proposed to address responsibility gaps and mitigate them by establishing conditions that enable a proper attribution of responsibility for humans; however, clear requirements for researchers, designers, and engineers are yet inexistent, making the development of AI-based systems that remain under meaningful human control challenging. In this paper, we address the gap between philosophical theory and engineering practice by identifying, through an iterative process of abductive thinking, four actionable properties for AI-based systems under meaningful human control, which we discuss making use of two applications scenarios: automated vehicles and AI-based hiring. First, a system in which humans and AI algorithms interact should have an explicitly defined domain of morally loaded situations within which the system ought to operate. Second, humans and AI agents within the system should have appropriate and mutually compatible representations. Third, responsibility attributed to a human should be commensurate with that human's ability and authority to control the system. Fourth, there should be explicit links between the actions of the AI agents and actions of humans who are aware of their moral responsibility. We argue that these four properties will support practically-minded professionals to take concrete steps toward designing and engineering for AI systems that facilitate meaningful human control.","container-title":"AI and Ethics","DOI":"10.1007/s43681-022-00167-3","ISSN":"2730-5953, 2730-5961","issue":"1","journalAbbreviation":"AI Ethics","note":"arXiv:2112.01298 [cs]","page":"241-255","source":"arXiv.org","title":"Meaningful human control: actionable properties for AI system development","title-short":"Meaningful human control","volume":"3","author":[{"family":"Siebert","given":"Luciano Cavalcante"},{"family":"Lupetti","given":"Maria Luce"},{"family":"Aizenberg","given":"Evgeni"},{"family":"Beckers","given":"Niek"},{"family":"Zgonnikov","given":"Arkady"},{"family":"Veluwenkamp","given":"Herman"},{"family":"Abbink","given":"David"},{"family":"Giaccardi","given":"Elisa"},{"family":"Houben","given":"Geert-Jan"},{"family":"Jonker","given":"Catholijn M."},{"family":"Hoven","given":"Jeroen","dropping-particle":"van den"},{"family":"Forster","given":"Deborah"},{"family":"Lagendijk","given":"Reginald L."}],"issued":{"date-parts":[["2023",2]]}}}],"schema":"https://github.com/citation-style-language/schema/raw/master/csl-citation.json"} </w:instrText>
      </w:r>
      <w:r w:rsidR="00FC5E04">
        <w:fldChar w:fldCharType="separate"/>
      </w:r>
      <w:r w:rsidR="00FC5E04" w:rsidRPr="00FC5E04">
        <w:rPr>
          <w:rFonts w:ascii="Aptos" w:hAnsi="Aptos" w:cs="Times New Roman"/>
          <w:kern w:val="0"/>
        </w:rPr>
        <w:t xml:space="preserve">(Siebert </w:t>
      </w:r>
      <w:r w:rsidR="00FC5E04" w:rsidRPr="00FC5E04">
        <w:rPr>
          <w:rFonts w:ascii="Aptos" w:hAnsi="Aptos" w:cs="Times New Roman"/>
          <w:i/>
          <w:iCs/>
          <w:kern w:val="0"/>
        </w:rPr>
        <w:t>et al.</w:t>
      </w:r>
      <w:r w:rsidR="00FC5E04" w:rsidRPr="00FC5E04">
        <w:rPr>
          <w:rFonts w:ascii="Aptos" w:hAnsi="Aptos" w:cs="Times New Roman"/>
          <w:kern w:val="0"/>
        </w:rPr>
        <w:t>, 2023)</w:t>
      </w:r>
      <w:r w:rsidR="00FC5E04">
        <w:fldChar w:fldCharType="end"/>
      </w:r>
      <w:r w:rsidRPr="00A33471">
        <w:t>.</w:t>
      </w:r>
    </w:p>
    <w:p w14:paraId="09DC7062" w14:textId="6F3766B8" w:rsidR="00A33471" w:rsidRPr="00A33471" w:rsidRDefault="00A33471" w:rsidP="004F5ED3">
      <w:pPr>
        <w:jc w:val="both"/>
      </w:pPr>
      <w:r w:rsidRPr="00A33471">
        <w:t xml:space="preserve">Building on these insights, it is equally important to consider how generative AI challenges foundational principles in the creative industries. </w:t>
      </w:r>
      <w:r>
        <w:t>Recent</w:t>
      </w:r>
      <w:r w:rsidRPr="00A33471">
        <w:t xml:space="preserve"> tools such as DALL·E </w:t>
      </w:r>
      <w:r>
        <w:t xml:space="preserve">and ChatGPT </w:t>
      </w:r>
      <w:r w:rsidRPr="00A33471">
        <w:t>introduce unprecedented opportunities for democratizing creativity</w:t>
      </w:r>
      <w:r w:rsidR="004F5ED3">
        <w:t>,</w:t>
      </w:r>
      <w:r w:rsidRPr="00A33471">
        <w:t xml:space="preserve"> and preserving cultural heritage </w:t>
      </w:r>
      <w:r w:rsidR="004F5ED3">
        <w:t>(in particular, the latest 4.5 model, and its dedicated tools such as Sora for video generation)</w:t>
      </w:r>
      <w:r w:rsidR="00FC5E04">
        <w:t xml:space="preserve"> </w:t>
      </w:r>
      <w:r w:rsidR="00FC5E04">
        <w:fldChar w:fldCharType="begin"/>
      </w:r>
      <w:r w:rsidR="00FC5E04">
        <w:instrText xml:space="preserve"> ADDIN ZOTERO_ITEM CSL_CITATION {"citationID":"MxYVSeHg","properties":{"formattedCitation":"(Anantrasirichai and Bull, 2022)","plainCitation":"(Anantrasirichai and Bull, 2022)","noteIndex":0},"citationItems":[{"id":287,"uris":["http://zotero.org/users/local/kYTWq1ZA/items/PKJVCK7X"],"itemData":{"id":287,"type":"article-journal","abstract":"This paper reviews the current state of the art in Artificial Intelligence (AI) technologies and applications in the context of the creative industries. A brief background of AI, and specifically Machine Learning (ML) algorithms, is provided including Convolutional Neural Network (CNNs), Generative Adversarial Networks (GANs), Recurrent Neural Networks (RNNs) and Deep Reinforcement Learning (DRL). We categorise creative applications into five groups related to how AI technologies are used: i) content creation, ii) information analysis, iii) content enhancement and post production workflows, iv) information extraction and enhancement, and v) data compression. We critically examine the successes and limitations of this rapidly advancing technology in each of these areas. We further differentiate between the use of AI as a creative tool and its potential as a creator in its own right. We foresee that, in the near future, machine learning-based AI will be adopted widely as a tool or collaborative assistant for creativity. In contrast, we observe that the successes of machine learning in domains with fewer constraints, where AI is the `creator', remain modest. The potential of AI (or its developers) to win awards for its original creations in competition with human creatives is also limited, based on contemporary technologies. We therefore conclude that, in the context of creative industries, maximum benefit from AI will be derived where its focus is human centric -- where it is designed to augment, rather than replace, human creativity.","container-title":"Artificial Intelligence Review","DOI":"10.1007/s10462-021-10039-7","ISSN":"0269-2821, 1573-7462","issue":"1","journalAbbreviation":"Artif Intell Rev","note":"arXiv:2007.12391 [cs]","page":"589-656","source":"arXiv.org","title":"Artificial Intelligence in the Creative Industries: A Review","title-short":"Artificial Intelligence in the Creative Industries","volume":"55","author":[{"family":"Anantrasirichai","given":"Nantheera"},{"family":"Bull","given":"David"}],"issued":{"date-parts":[["2022",1]]}}}],"schema":"https://github.com/citation-style-language/schema/raw/master/csl-citation.json"} </w:instrText>
      </w:r>
      <w:r w:rsidR="00FC5E04">
        <w:fldChar w:fldCharType="separate"/>
      </w:r>
      <w:r w:rsidR="00FC5E04" w:rsidRPr="00FC5E04">
        <w:rPr>
          <w:rFonts w:ascii="Aptos" w:hAnsi="Aptos"/>
        </w:rPr>
        <w:t>(</w:t>
      </w:r>
      <w:proofErr w:type="spellStart"/>
      <w:r w:rsidR="00FC5E04" w:rsidRPr="00FC5E04">
        <w:rPr>
          <w:rFonts w:ascii="Aptos" w:hAnsi="Aptos"/>
        </w:rPr>
        <w:t>Anantrasirichai</w:t>
      </w:r>
      <w:proofErr w:type="spellEnd"/>
      <w:r w:rsidR="00FC5E04" w:rsidRPr="00FC5E04">
        <w:rPr>
          <w:rFonts w:ascii="Aptos" w:hAnsi="Aptos"/>
        </w:rPr>
        <w:t xml:space="preserve"> and Bull, 2022)</w:t>
      </w:r>
      <w:r w:rsidR="00FC5E04">
        <w:fldChar w:fldCharType="end"/>
      </w:r>
      <w:r w:rsidRPr="00A33471">
        <w:t>. Yet, they simultaneously risk displacing human creative labo</w:t>
      </w:r>
      <w:r w:rsidR="00FC5E04">
        <w:t>u</w:t>
      </w:r>
      <w:r w:rsidRPr="00A33471">
        <w:t>r and devaluing originality</w:t>
      </w:r>
      <w:r w:rsidR="00FC5E04">
        <w:t xml:space="preserve"> </w:t>
      </w:r>
      <w:r w:rsidR="00FC5E04">
        <w:fldChar w:fldCharType="begin"/>
      </w:r>
      <w:r w:rsidR="00FC5E04">
        <w:instrText xml:space="preserve"> ADDIN ZOTERO_ITEM CSL_CITATION {"citationID":"Ftz9mHt1","properties":{"formattedCitation":"(Erickson, 2024)","plainCitation":"(Erickson, 2024)","noteIndex":0},"citationItems":[{"id":275,"uris":["http://zotero.org/users/local/kYTWq1ZA/items/PA7RKMVM"],"itemData":{"id":275,"type":"article","abstract":"There is current uncertainty about the effects of generative AI technologies on labour markets and conditions of work in creative industries. Previous scholarship identifies the potential for both replacement and displacement of human labour due to AI adoption. This article examines potential effects of AI adoption by drawing on case studies of 6 firms that commercialised products using AI, empirically investigating conditions of work and mechanisms by which human creative labour might be replaced or displaced by AI technology. The main findings are that AI products were more labour intensive than traditional media products because they combined traditional production skills and new computational expertise. Paradoxically, contributions by human workers tended to be invisibilised in final products that foregrounded the role of AI technology. There was potential for displacement of human labour, mainly in the ideation phase, with AI enabling producers to explore different creative possibilities. Some AI products had the potential to compete with earlier production methods (e.g. AIgenerated imagery vs. stock photography). Overall, case study findings were consistent with ongoing challenges from digitalisation: conditions of deskilling, re-skilling, flexible employment and uncertainty remain intense for small firms engaged in AI-assisted creative production.","DOI":"10.1080/17510694.2024.2421135","event-place":"Rochester, NY","genre":"SSRN Scholarly Paper","language":"en","number":"5006065","publisher":"Social Science Research Network","publisher-place":"Rochester, NY","source":"papers.ssrn.com","title":"AI and Work in the Creative Industries: Digital Continuity or Discontinuity?","title-short":"AI and Work in the Creative Industries","URL":"https://papers.ssrn.com/abstract=5006065","author":[{"family":"Erickson","given":"Kristofer"}],"accessed":{"date-parts":[["2025",4,7]]},"issued":{"date-parts":[["2024",10,28]]}}}],"schema":"https://github.com/citation-style-language/schema/raw/master/csl-citation.json"} </w:instrText>
      </w:r>
      <w:r w:rsidR="00FC5E04">
        <w:fldChar w:fldCharType="separate"/>
      </w:r>
      <w:r w:rsidR="00FC5E04" w:rsidRPr="00FC5E04">
        <w:rPr>
          <w:rFonts w:ascii="Aptos" w:hAnsi="Aptos"/>
        </w:rPr>
        <w:t>(Erickson, 2024)</w:t>
      </w:r>
      <w:r w:rsidR="00FC5E04">
        <w:fldChar w:fldCharType="end"/>
      </w:r>
      <w:r w:rsidRPr="00A33471">
        <w:t xml:space="preserve">. Furthermore, the use of training data containing copyrighted or personal content without clear consent exacerbates concerns about intellectual property and privacy rights </w:t>
      </w:r>
      <w:r w:rsidR="00FC5E04">
        <w:fldChar w:fldCharType="begin"/>
      </w:r>
      <w:r w:rsidR="00FC5E04">
        <w:instrText xml:space="preserve"> ADDIN ZOTERO_ITEM CSL_CITATION {"citationID":"HIocOb99","properties":{"formattedCitation":"(Bracha, 2023)","plainCitation":"(Bracha, 2023)","noteIndex":0},"citationItems":[{"id":272,"uris":["http://zotero.org/users/local/kYTWq1ZA/items/5AIVC3V7"],"itemData":{"id":272,"type":"article","abstract":"The advent of powerful Generative Artificial Intelligence (GenAI) marks a revolutionary moment in our system of cultural production. The challenge it poses is twofold: (1) Internally, to existing copyright-based business models of cultural production; and (2) Externally, by threating human authors more generally, it raises a deeper set of anxieties concerning livelihood, the inherent value of creativity, and deep innovation. This Article seeks to disentangle these two concerns, to avoid understandable variants of the latter resulting in distorting the former. Such disentanglement is necessary to ensure that copyright does not become the misguided vehicle for addressing larger cultural anxieties about ‘machine creativity’ that it is ill-suited to handle. The Articles examines broad arguments of GenAI copyright infringement by resorting to and elaborating copyright’s fundamental principles. It argues that, contrary to conventional wisdom, many of these arguments should be rejected on foundational grounds concerning the proper domain of copyright’s subject matter, rather than on secondary grounds going to the scope of copyright’s protection. This applies to both the upstream and downstream levels of the GenAI production process. With respect to the upstream level, the entire central legal debate is misguided. Both sides in this debate assume that reproduction of copyrighted works, strictly as part of the training process, is infringing, and disagree whether it is exempted as fair use. In fact, reproduction strictly limited for training purposes is not infringing on the more fundamental ground of not using any copyrightable subject matter, without ever needing to reach the fair use question. For purposes of copyright, the mere creation of a copy whose expressive use value will be consumed by no one is an irrelevant physical fact. On the downstream level, the argument that copying of creators’ “style” is infringing is subject to a similar analysis. GenAI outputs that replicates a creator’s general style rather than any specific work pertains to informational subject matter that has always been outside’s copyright domain. Subject matter rules play a dual function in this area. Internally, they ensure that protection does not extend to informational elements that copyright’s policy balance requires remain free. Externally, they prevent attempts to weaponize copyright to address genuine GenAI cultural policy concerns, albeit ones the field is neither designed nor equipped to handle.","DOI":"10.2139/ssrn.4581738","event-place":"Rochester, NY","genre":"SSRN Scholarly Paper","language":"en","number":"4581738","publisher":"Social Science Research Network","publisher-place":"Rochester, NY","source":"papers.ssrn.com","title":"The Work of Copyright in the Age of Machine Production","URL":"https://papers.ssrn.com/abstract=4581738","author":[{"family":"Bracha","given":"Oren"}],"accessed":{"date-parts":[["2025",4,7]]},"issued":{"date-parts":[["2023",9,24]]}}}],"schema":"https://github.com/citation-style-language/schema/raw/master/csl-citation.json"} </w:instrText>
      </w:r>
      <w:r w:rsidR="00FC5E04">
        <w:fldChar w:fldCharType="separate"/>
      </w:r>
      <w:r w:rsidR="00FC5E04" w:rsidRPr="00FC5E04">
        <w:rPr>
          <w:rFonts w:ascii="Aptos" w:hAnsi="Aptos"/>
        </w:rPr>
        <w:t>(Bracha, 2023)</w:t>
      </w:r>
      <w:r w:rsidR="00FC5E04">
        <w:fldChar w:fldCharType="end"/>
      </w:r>
      <w:r w:rsidRPr="00A33471">
        <w:t xml:space="preserve">. Without clear ownership definitions or regulatory oversight, the line between inspiration and </w:t>
      </w:r>
      <w:r w:rsidR="004F5ED3">
        <w:t xml:space="preserve">plagiarism </w:t>
      </w:r>
      <w:r w:rsidRPr="00A33471">
        <w:t>becomes increasingly blurred</w:t>
      </w:r>
      <w:r w:rsidR="004F5ED3">
        <w:t>, with potentially unpredictable consequences for both human wellbeing and economic activity</w:t>
      </w:r>
      <w:r w:rsidRPr="00A33471">
        <w:t>.</w:t>
      </w:r>
    </w:p>
    <w:p w14:paraId="5B1405FD" w14:textId="2A36B0B3" w:rsidR="00FC5E04" w:rsidRDefault="00A33471" w:rsidP="00FC5E04">
      <w:pPr>
        <w:jc w:val="both"/>
      </w:pPr>
      <w:r w:rsidRPr="00A33471">
        <w:t>In conclusion, while deep learning models offer transformative potential, their ethical implications</w:t>
      </w:r>
      <w:r w:rsidR="004F5ED3">
        <w:t xml:space="preserve"> </w:t>
      </w:r>
      <w:r w:rsidRPr="00A33471">
        <w:t xml:space="preserve">must not be overlooked. A multidisciplinary approach combining legal, technical, and societal frameworks is essential to guide the responsible use of generative AI and to ensure its alignment with human values and societal norms </w:t>
      </w:r>
      <w:r w:rsidR="00FC5E04">
        <w:fldChar w:fldCharType="begin"/>
      </w:r>
      <w:r w:rsidR="00FC5E04">
        <w:instrText xml:space="preserve"> ADDIN ZOTERO_ITEM CSL_CITATION {"citationID":"EmJL3cBn","properties":{"formattedCitation":"(Feldman, 2017; Mammen {\\i{}et al.}, 2024)","plainCitation":"(Feldman, 2017; Mammen et al., 2024)","noteIndex":0},"citationItems":[{"id":281,"uris":["http://zotero.org/users/local/kYTWq1ZA/items/2SU4GVYN"],"itemData":{"id":281,"type":"paper-conference","abstract":"In recent years, Creative Artificial Intelligence Systems (CAIS) have revolutionised the nature of creative practices. This transformation puts great emphasis on the importance of the human collaborator, the user experience (UX) and the practical applications of CAIS. This paper focuses on understanding how CAIS encourages new modes of creative practice with users through cognitive and emotional UX factors within the domains of creative expressions. It also focuses on co-creativity between human and AI and what this means for the role of designers/artist today.","DOI":"10.14236/ewic/EVA2017.84","event-title":"Electronic Visualisation and the Arts (EVA 2017)","publisher":"BCS Learning &amp; Development","source":"www.scienceopen.com","title":"Co-Creation: Human and AI Collaboration in Creative Expression","title-short":"Co-Creation","URL":"https://www.scienceopen.com/hosted-document?doi=10.14236/ewic/EVA2017.84","author":[{"family":"Feldman","given":"Sara (Salevati)"}],"accessed":{"date-parts":[["2025",4,7]]},"issued":{"date-parts":[["2017",7,1]]}}},{"id":267,"uris":["http://zotero.org/users/local/kYTWq1ZA/items/FQLPY7AT"],"itemData":{"id":267,"type":"report","abstract":"Copyright and patent law require the identification of an author or inventor, and further require the author or inventor to be human. We explore this requirement primarily with reference to U.S. law and provide additional illustrations from U.K. and E.U. law. A key rationale underlying the requirement of a human author or inventor is that there is something special and important about human creativity.","language":"en","source":"Zotero","title":"Creativity, Artificial Intelligence, and the Requirement of Human Authors and Inventors in Copyright and Patent Law","author":[{"family":"Mammen","given":"Christian E"},{"family":"Collyer","given":"Michael"},{"family":"Dolin","given":"Ron"},{"family":"Gangjee","given":"Dev"},{"family":"Melham","given":"Tom"},{"family":"Sundaralingam","given":"Pireeni"},{"family":"Wang-Maścianica","given":"Vincent"}],"issued":{"date-parts":[["2024",7]]}}}],"schema":"https://github.com/citation-style-language/schema/raw/master/csl-citation.json"} </w:instrText>
      </w:r>
      <w:r w:rsidR="00FC5E04">
        <w:fldChar w:fldCharType="separate"/>
      </w:r>
      <w:r w:rsidR="00FC5E04" w:rsidRPr="00FC5E04">
        <w:rPr>
          <w:rFonts w:ascii="Aptos" w:hAnsi="Aptos" w:cs="Times New Roman"/>
          <w:kern w:val="0"/>
        </w:rPr>
        <w:t xml:space="preserve">(Feldman, 2017; </w:t>
      </w:r>
      <w:proofErr w:type="spellStart"/>
      <w:r w:rsidR="00FC5E04" w:rsidRPr="00FC5E04">
        <w:rPr>
          <w:rFonts w:ascii="Aptos" w:hAnsi="Aptos" w:cs="Times New Roman"/>
          <w:kern w:val="0"/>
        </w:rPr>
        <w:t>Mammen</w:t>
      </w:r>
      <w:proofErr w:type="spellEnd"/>
      <w:r w:rsidR="00FC5E04" w:rsidRPr="00FC5E04">
        <w:rPr>
          <w:rFonts w:ascii="Aptos" w:hAnsi="Aptos" w:cs="Times New Roman"/>
          <w:kern w:val="0"/>
        </w:rPr>
        <w:t xml:space="preserve"> </w:t>
      </w:r>
      <w:r w:rsidR="00FC5E04" w:rsidRPr="00FC5E04">
        <w:rPr>
          <w:rFonts w:ascii="Aptos" w:hAnsi="Aptos" w:cs="Times New Roman"/>
          <w:i/>
          <w:iCs/>
          <w:kern w:val="0"/>
        </w:rPr>
        <w:t>et al.</w:t>
      </w:r>
      <w:r w:rsidR="00FC5E04" w:rsidRPr="00FC5E04">
        <w:rPr>
          <w:rFonts w:ascii="Aptos" w:hAnsi="Aptos" w:cs="Times New Roman"/>
          <w:kern w:val="0"/>
        </w:rPr>
        <w:t>, 2024)</w:t>
      </w:r>
      <w:r w:rsidR="00FC5E04">
        <w:fldChar w:fldCharType="end"/>
      </w:r>
      <w:r w:rsidR="00FC5E04">
        <w:t xml:space="preserve">. </w:t>
      </w:r>
    </w:p>
    <w:p w14:paraId="0500DDBF" w14:textId="4C57B052" w:rsidR="00A33471" w:rsidRPr="00A33471" w:rsidRDefault="00FC5E04" w:rsidP="00FC5E04">
      <w:pPr>
        <w:jc w:val="both"/>
      </w:pPr>
      <w:r w:rsidRPr="00FC5E04">
        <w:rPr>
          <w:b/>
          <w:bCs/>
        </w:rPr>
        <w:t>R</w:t>
      </w:r>
      <w:r w:rsidR="00A33471" w:rsidRPr="00A33471">
        <w:rPr>
          <w:b/>
          <w:bCs/>
        </w:rPr>
        <w:t>eferences:</w:t>
      </w:r>
    </w:p>
    <w:p w14:paraId="144D53FF" w14:textId="77777777" w:rsidR="00FC5E04" w:rsidRPr="00FC5E04" w:rsidRDefault="00FC5E04" w:rsidP="00FC5E04">
      <w:pPr>
        <w:pStyle w:val="Bibliography"/>
        <w:rPr>
          <w:rFonts w:ascii="Aptos" w:hAnsi="Aptos"/>
        </w:rPr>
      </w:pPr>
      <w:r>
        <w:rPr>
          <w:b/>
          <w:bCs/>
        </w:rPr>
        <w:fldChar w:fldCharType="begin"/>
      </w:r>
      <w:r>
        <w:rPr>
          <w:b/>
          <w:bCs/>
        </w:rPr>
        <w:instrText xml:space="preserve"> ADDIN ZOTERO_BIBL {"uncited":[],"omitted":[],"custom":[]} CSL_BIBLIOGRAPHY </w:instrText>
      </w:r>
      <w:r>
        <w:rPr>
          <w:b/>
          <w:bCs/>
        </w:rPr>
        <w:fldChar w:fldCharType="separate"/>
      </w:r>
      <w:r w:rsidRPr="00FC5E04">
        <w:rPr>
          <w:rFonts w:ascii="Aptos" w:hAnsi="Aptos"/>
        </w:rPr>
        <w:t>Al-</w:t>
      </w:r>
      <w:proofErr w:type="spellStart"/>
      <w:r w:rsidRPr="00FC5E04">
        <w:rPr>
          <w:rFonts w:ascii="Aptos" w:hAnsi="Aptos"/>
        </w:rPr>
        <w:t>kfairy</w:t>
      </w:r>
      <w:proofErr w:type="spellEnd"/>
      <w:r w:rsidRPr="00FC5E04">
        <w:rPr>
          <w:rFonts w:ascii="Aptos" w:hAnsi="Aptos"/>
        </w:rPr>
        <w:t xml:space="preserve">, M. </w:t>
      </w:r>
      <w:r w:rsidRPr="00FC5E04">
        <w:rPr>
          <w:rFonts w:ascii="Aptos" w:hAnsi="Aptos"/>
          <w:i/>
          <w:iCs/>
        </w:rPr>
        <w:t>et al.</w:t>
      </w:r>
      <w:r w:rsidRPr="00FC5E04">
        <w:rPr>
          <w:rFonts w:ascii="Aptos" w:hAnsi="Aptos"/>
        </w:rPr>
        <w:t xml:space="preserve"> (2024) ‘A Systematic Review and Analysis of Ethical Challenges of Generative Ai: An Interdisciplinary Perspective’. Rochester, NY: Social Science Research Network. Available at: https://doi.org/10.2139/ssrn.4833030.</w:t>
      </w:r>
    </w:p>
    <w:p w14:paraId="759C1156" w14:textId="77777777" w:rsidR="00FC5E04" w:rsidRPr="00FC5E04" w:rsidRDefault="00FC5E04" w:rsidP="00FC5E04">
      <w:pPr>
        <w:pStyle w:val="Bibliography"/>
        <w:rPr>
          <w:rFonts w:ascii="Aptos" w:hAnsi="Aptos"/>
        </w:rPr>
      </w:pPr>
      <w:proofErr w:type="spellStart"/>
      <w:r w:rsidRPr="00FC5E04">
        <w:rPr>
          <w:rFonts w:ascii="Aptos" w:hAnsi="Aptos"/>
        </w:rPr>
        <w:t>Anantrasirichai</w:t>
      </w:r>
      <w:proofErr w:type="spellEnd"/>
      <w:r w:rsidRPr="00FC5E04">
        <w:rPr>
          <w:rFonts w:ascii="Aptos" w:hAnsi="Aptos"/>
        </w:rPr>
        <w:t xml:space="preserve">, N. and Bull, D. (2022) ‘Artificial Intelligence in the Creative Industries: A Review’, </w:t>
      </w:r>
      <w:r w:rsidRPr="00FC5E04">
        <w:rPr>
          <w:rFonts w:ascii="Aptos" w:hAnsi="Aptos"/>
          <w:i/>
          <w:iCs/>
        </w:rPr>
        <w:t>Artificial Intelligence Review</w:t>
      </w:r>
      <w:r w:rsidRPr="00FC5E04">
        <w:rPr>
          <w:rFonts w:ascii="Aptos" w:hAnsi="Aptos"/>
        </w:rPr>
        <w:t>, 55(1), pp. 589–656. Available at: https://doi.org/10.1007/s10462-021-10039-7.</w:t>
      </w:r>
    </w:p>
    <w:p w14:paraId="7F51F6D1" w14:textId="77777777" w:rsidR="00FC5E04" w:rsidRPr="00FC5E04" w:rsidRDefault="00FC5E04" w:rsidP="00FC5E04">
      <w:pPr>
        <w:pStyle w:val="Bibliography"/>
        <w:rPr>
          <w:rFonts w:ascii="Aptos" w:hAnsi="Aptos"/>
        </w:rPr>
      </w:pPr>
      <w:r w:rsidRPr="00FC5E04">
        <w:rPr>
          <w:rFonts w:ascii="Aptos" w:hAnsi="Aptos"/>
        </w:rPr>
        <w:t>Bracha, O. (2023) ‘The Work of Copyright in the Age of Machine Production’. Rochester, NY: Social Science Research Network. Available at: https://doi.org/10.2139/ssrn.4581738.</w:t>
      </w:r>
    </w:p>
    <w:p w14:paraId="0676A365" w14:textId="77777777" w:rsidR="00FC5E04" w:rsidRPr="00FC5E04" w:rsidRDefault="00FC5E04" w:rsidP="00FC5E04">
      <w:pPr>
        <w:pStyle w:val="Bibliography"/>
        <w:rPr>
          <w:rFonts w:ascii="Aptos" w:hAnsi="Aptos"/>
        </w:rPr>
      </w:pPr>
      <w:r w:rsidRPr="00FC5E04">
        <w:rPr>
          <w:rFonts w:ascii="Aptos" w:hAnsi="Aptos"/>
        </w:rPr>
        <w:t xml:space="preserve">Cheong, B.C. (2024) ‘Transparency and accountability in AI systems: safeguarding wellbeing in the age of algorithmic decision-making’, </w:t>
      </w:r>
      <w:r w:rsidRPr="00FC5E04">
        <w:rPr>
          <w:rFonts w:ascii="Aptos" w:hAnsi="Aptos"/>
          <w:i/>
          <w:iCs/>
        </w:rPr>
        <w:t>Frontiers in Human Dynamics</w:t>
      </w:r>
      <w:r w:rsidRPr="00FC5E04">
        <w:rPr>
          <w:rFonts w:ascii="Aptos" w:hAnsi="Aptos"/>
        </w:rPr>
        <w:t>, 6. Available at: https://doi.org/10.3389/fhumd.2024.1421273.</w:t>
      </w:r>
    </w:p>
    <w:p w14:paraId="106709B9" w14:textId="77777777" w:rsidR="00FC5E04" w:rsidRPr="00FC5E04" w:rsidRDefault="00FC5E04" w:rsidP="00FC5E04">
      <w:pPr>
        <w:pStyle w:val="Bibliography"/>
        <w:rPr>
          <w:rFonts w:ascii="Aptos" w:hAnsi="Aptos"/>
        </w:rPr>
      </w:pPr>
      <w:r w:rsidRPr="00FC5E04">
        <w:rPr>
          <w:rFonts w:ascii="Aptos" w:hAnsi="Aptos"/>
        </w:rPr>
        <w:t>Erickson, K. (2024) ‘AI and Work in the Creative Industries: Digital Continuity or Discontinuity?’ Rochester, NY: Social Science Research Network. Available at: https://doi.org/10.1080/17510694.2024.2421135.</w:t>
      </w:r>
    </w:p>
    <w:p w14:paraId="5BECC23E" w14:textId="77777777" w:rsidR="00FC5E04" w:rsidRPr="00FC5E04" w:rsidRDefault="00FC5E04" w:rsidP="00FC5E04">
      <w:pPr>
        <w:pStyle w:val="Bibliography"/>
        <w:rPr>
          <w:rFonts w:ascii="Aptos" w:hAnsi="Aptos"/>
        </w:rPr>
      </w:pPr>
      <w:r w:rsidRPr="00FC5E04">
        <w:rPr>
          <w:rFonts w:ascii="Aptos" w:hAnsi="Aptos"/>
        </w:rPr>
        <w:t>Feldman, S. (</w:t>
      </w:r>
      <w:proofErr w:type="spellStart"/>
      <w:r w:rsidRPr="00FC5E04">
        <w:rPr>
          <w:rFonts w:ascii="Aptos" w:hAnsi="Aptos"/>
        </w:rPr>
        <w:t>Salevati</w:t>
      </w:r>
      <w:proofErr w:type="spellEnd"/>
      <w:r w:rsidRPr="00FC5E04">
        <w:rPr>
          <w:rFonts w:ascii="Aptos" w:hAnsi="Aptos"/>
        </w:rPr>
        <w:t xml:space="preserve">) (2017) ‘Co-Creation: Human and AI Collaboration in Creative Expression’, in. </w:t>
      </w:r>
      <w:r w:rsidRPr="00FC5E04">
        <w:rPr>
          <w:rFonts w:ascii="Aptos" w:hAnsi="Aptos"/>
          <w:i/>
          <w:iCs/>
        </w:rPr>
        <w:t>Electronic Visualisation and the Arts (EVA 2017)</w:t>
      </w:r>
      <w:r w:rsidRPr="00FC5E04">
        <w:rPr>
          <w:rFonts w:ascii="Aptos" w:hAnsi="Aptos"/>
        </w:rPr>
        <w:t>, BCS Learning &amp; Development. Available at: https://doi.org/10.14236/ewic/EVA2017.84.</w:t>
      </w:r>
    </w:p>
    <w:p w14:paraId="24E49BAB" w14:textId="77777777" w:rsidR="00FC5E04" w:rsidRPr="00FC5E04" w:rsidRDefault="00FC5E04" w:rsidP="00FC5E04">
      <w:pPr>
        <w:pStyle w:val="Bibliography"/>
        <w:rPr>
          <w:rFonts w:ascii="Aptos" w:hAnsi="Aptos"/>
        </w:rPr>
      </w:pPr>
      <w:proofErr w:type="spellStart"/>
      <w:r w:rsidRPr="00FC5E04">
        <w:rPr>
          <w:rFonts w:ascii="Aptos" w:hAnsi="Aptos"/>
        </w:rPr>
        <w:lastRenderedPageBreak/>
        <w:t>Mammen</w:t>
      </w:r>
      <w:proofErr w:type="spellEnd"/>
      <w:r w:rsidRPr="00FC5E04">
        <w:rPr>
          <w:rFonts w:ascii="Aptos" w:hAnsi="Aptos"/>
        </w:rPr>
        <w:t xml:space="preserve">, C.E. </w:t>
      </w:r>
      <w:r w:rsidRPr="00FC5E04">
        <w:rPr>
          <w:rFonts w:ascii="Aptos" w:hAnsi="Aptos"/>
          <w:i/>
          <w:iCs/>
        </w:rPr>
        <w:t>et al.</w:t>
      </w:r>
      <w:r w:rsidRPr="00FC5E04">
        <w:rPr>
          <w:rFonts w:ascii="Aptos" w:hAnsi="Aptos"/>
        </w:rPr>
        <w:t xml:space="preserve"> (2024) </w:t>
      </w:r>
      <w:r w:rsidRPr="00FC5E04">
        <w:rPr>
          <w:rFonts w:ascii="Aptos" w:hAnsi="Aptos"/>
          <w:i/>
          <w:iCs/>
        </w:rPr>
        <w:t>Creativity, Artificial Intelligence, and the Requirement of Human Authors and Inventors in Copyright and Patent Law</w:t>
      </w:r>
      <w:r w:rsidRPr="00FC5E04">
        <w:rPr>
          <w:rFonts w:ascii="Aptos" w:hAnsi="Aptos"/>
        </w:rPr>
        <w:t>.</w:t>
      </w:r>
    </w:p>
    <w:p w14:paraId="7134AC1C" w14:textId="77777777" w:rsidR="00FC5E04" w:rsidRPr="00FC5E04" w:rsidRDefault="00FC5E04" w:rsidP="00FC5E04">
      <w:pPr>
        <w:pStyle w:val="Bibliography"/>
        <w:rPr>
          <w:rFonts w:ascii="Aptos" w:hAnsi="Aptos"/>
        </w:rPr>
      </w:pPr>
      <w:r w:rsidRPr="00FC5E04">
        <w:rPr>
          <w:rFonts w:ascii="Aptos" w:hAnsi="Aptos"/>
        </w:rPr>
        <w:t xml:space="preserve">Siebert, L.C. </w:t>
      </w:r>
      <w:r w:rsidRPr="00FC5E04">
        <w:rPr>
          <w:rFonts w:ascii="Aptos" w:hAnsi="Aptos"/>
          <w:i/>
          <w:iCs/>
        </w:rPr>
        <w:t>et al.</w:t>
      </w:r>
      <w:r w:rsidRPr="00FC5E04">
        <w:rPr>
          <w:rFonts w:ascii="Aptos" w:hAnsi="Aptos"/>
        </w:rPr>
        <w:t xml:space="preserve"> (2023) ‘Meaningful human control: actionable properties for AI system development’, </w:t>
      </w:r>
      <w:r w:rsidRPr="00FC5E04">
        <w:rPr>
          <w:rFonts w:ascii="Aptos" w:hAnsi="Aptos"/>
          <w:i/>
          <w:iCs/>
        </w:rPr>
        <w:t>AI and Ethics</w:t>
      </w:r>
      <w:r w:rsidRPr="00FC5E04">
        <w:rPr>
          <w:rFonts w:ascii="Aptos" w:hAnsi="Aptos"/>
        </w:rPr>
        <w:t>, 3(1), pp. 241–255. Available at: https://doi.org/10.1007/s43681-022-00167-3.</w:t>
      </w:r>
    </w:p>
    <w:p w14:paraId="1D2DB2F7" w14:textId="7E359A35" w:rsidR="00A33471" w:rsidRPr="00A33471" w:rsidRDefault="00FC5E04">
      <w:pPr>
        <w:rPr>
          <w:b/>
          <w:bCs/>
        </w:rPr>
      </w:pPr>
      <w:r>
        <w:rPr>
          <w:b/>
          <w:bCs/>
        </w:rPr>
        <w:fldChar w:fldCharType="end"/>
      </w:r>
    </w:p>
    <w:sectPr w:rsidR="00A33471" w:rsidRPr="00A33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71"/>
    <w:rsid w:val="004B205C"/>
    <w:rsid w:val="004F5ED3"/>
    <w:rsid w:val="007A03D2"/>
    <w:rsid w:val="008356EB"/>
    <w:rsid w:val="00951D80"/>
    <w:rsid w:val="00A33471"/>
    <w:rsid w:val="00A42076"/>
    <w:rsid w:val="00D13DA4"/>
    <w:rsid w:val="00E73439"/>
    <w:rsid w:val="00FC5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3044"/>
  <w15:chartTrackingRefBased/>
  <w15:docId w15:val="{5B725BD2-9288-479B-8879-7D1E076B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471"/>
    <w:rPr>
      <w:rFonts w:eastAsiaTheme="majorEastAsia" w:cstheme="majorBidi"/>
      <w:color w:val="272727" w:themeColor="text1" w:themeTint="D8"/>
    </w:rPr>
  </w:style>
  <w:style w:type="paragraph" w:styleId="Title">
    <w:name w:val="Title"/>
    <w:basedOn w:val="Normal"/>
    <w:next w:val="Normal"/>
    <w:link w:val="TitleChar"/>
    <w:uiPriority w:val="10"/>
    <w:qFormat/>
    <w:rsid w:val="00A33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471"/>
    <w:pPr>
      <w:spacing w:before="160"/>
      <w:jc w:val="center"/>
    </w:pPr>
    <w:rPr>
      <w:i/>
      <w:iCs/>
      <w:color w:val="404040" w:themeColor="text1" w:themeTint="BF"/>
    </w:rPr>
  </w:style>
  <w:style w:type="character" w:customStyle="1" w:styleId="QuoteChar">
    <w:name w:val="Quote Char"/>
    <w:basedOn w:val="DefaultParagraphFont"/>
    <w:link w:val="Quote"/>
    <w:uiPriority w:val="29"/>
    <w:rsid w:val="00A33471"/>
    <w:rPr>
      <w:i/>
      <w:iCs/>
      <w:color w:val="404040" w:themeColor="text1" w:themeTint="BF"/>
    </w:rPr>
  </w:style>
  <w:style w:type="paragraph" w:styleId="ListParagraph">
    <w:name w:val="List Paragraph"/>
    <w:basedOn w:val="Normal"/>
    <w:uiPriority w:val="34"/>
    <w:qFormat/>
    <w:rsid w:val="00A33471"/>
    <w:pPr>
      <w:ind w:left="720"/>
      <w:contextualSpacing/>
    </w:pPr>
  </w:style>
  <w:style w:type="character" w:styleId="IntenseEmphasis">
    <w:name w:val="Intense Emphasis"/>
    <w:basedOn w:val="DefaultParagraphFont"/>
    <w:uiPriority w:val="21"/>
    <w:qFormat/>
    <w:rsid w:val="00A33471"/>
    <w:rPr>
      <w:i/>
      <w:iCs/>
      <w:color w:val="0F4761" w:themeColor="accent1" w:themeShade="BF"/>
    </w:rPr>
  </w:style>
  <w:style w:type="paragraph" w:styleId="IntenseQuote">
    <w:name w:val="Intense Quote"/>
    <w:basedOn w:val="Normal"/>
    <w:next w:val="Normal"/>
    <w:link w:val="IntenseQuoteChar"/>
    <w:uiPriority w:val="30"/>
    <w:qFormat/>
    <w:rsid w:val="00A33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471"/>
    <w:rPr>
      <w:i/>
      <w:iCs/>
      <w:color w:val="0F4761" w:themeColor="accent1" w:themeShade="BF"/>
    </w:rPr>
  </w:style>
  <w:style w:type="character" w:styleId="IntenseReference">
    <w:name w:val="Intense Reference"/>
    <w:basedOn w:val="DefaultParagraphFont"/>
    <w:uiPriority w:val="32"/>
    <w:qFormat/>
    <w:rsid w:val="00A33471"/>
    <w:rPr>
      <w:b/>
      <w:bCs/>
      <w:smallCaps/>
      <w:color w:val="0F4761" w:themeColor="accent1" w:themeShade="BF"/>
      <w:spacing w:val="5"/>
    </w:rPr>
  </w:style>
  <w:style w:type="character" w:styleId="Hyperlink">
    <w:name w:val="Hyperlink"/>
    <w:basedOn w:val="DefaultParagraphFont"/>
    <w:uiPriority w:val="99"/>
    <w:unhideWhenUsed/>
    <w:rsid w:val="00A33471"/>
    <w:rPr>
      <w:color w:val="467886" w:themeColor="hyperlink"/>
      <w:u w:val="single"/>
    </w:rPr>
  </w:style>
  <w:style w:type="character" w:styleId="UnresolvedMention">
    <w:name w:val="Unresolved Mention"/>
    <w:basedOn w:val="DefaultParagraphFont"/>
    <w:uiPriority w:val="99"/>
    <w:semiHidden/>
    <w:unhideWhenUsed/>
    <w:rsid w:val="00A33471"/>
    <w:rPr>
      <w:color w:val="605E5C"/>
      <w:shd w:val="clear" w:color="auto" w:fill="E1DFDD"/>
    </w:rPr>
  </w:style>
  <w:style w:type="paragraph" w:styleId="Bibliography">
    <w:name w:val="Bibliography"/>
    <w:basedOn w:val="Normal"/>
    <w:next w:val="Normal"/>
    <w:uiPriority w:val="37"/>
    <w:unhideWhenUsed/>
    <w:rsid w:val="00FC5E0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0881">
      <w:bodyDiv w:val="1"/>
      <w:marLeft w:val="0"/>
      <w:marRight w:val="0"/>
      <w:marTop w:val="0"/>
      <w:marBottom w:val="0"/>
      <w:divBdr>
        <w:top w:val="none" w:sz="0" w:space="0" w:color="auto"/>
        <w:left w:val="none" w:sz="0" w:space="0" w:color="auto"/>
        <w:bottom w:val="none" w:sz="0" w:space="0" w:color="auto"/>
        <w:right w:val="none" w:sz="0" w:space="0" w:color="auto"/>
      </w:divBdr>
    </w:div>
    <w:div w:id="726804532">
      <w:bodyDiv w:val="1"/>
      <w:marLeft w:val="0"/>
      <w:marRight w:val="0"/>
      <w:marTop w:val="0"/>
      <w:marBottom w:val="0"/>
      <w:divBdr>
        <w:top w:val="none" w:sz="0" w:space="0" w:color="auto"/>
        <w:left w:val="none" w:sz="0" w:space="0" w:color="auto"/>
        <w:bottom w:val="none" w:sz="0" w:space="0" w:color="auto"/>
        <w:right w:val="none" w:sz="0" w:space="0" w:color="auto"/>
      </w:divBdr>
    </w:div>
    <w:div w:id="795948976">
      <w:bodyDiv w:val="1"/>
      <w:marLeft w:val="0"/>
      <w:marRight w:val="0"/>
      <w:marTop w:val="0"/>
      <w:marBottom w:val="0"/>
      <w:divBdr>
        <w:top w:val="none" w:sz="0" w:space="0" w:color="auto"/>
        <w:left w:val="none" w:sz="0" w:space="0" w:color="auto"/>
        <w:bottom w:val="none" w:sz="0" w:space="0" w:color="auto"/>
        <w:right w:val="none" w:sz="0" w:space="0" w:color="auto"/>
      </w:divBdr>
    </w:div>
    <w:div w:id="1069496399">
      <w:bodyDiv w:val="1"/>
      <w:marLeft w:val="0"/>
      <w:marRight w:val="0"/>
      <w:marTop w:val="0"/>
      <w:marBottom w:val="0"/>
      <w:divBdr>
        <w:top w:val="none" w:sz="0" w:space="0" w:color="auto"/>
        <w:left w:val="none" w:sz="0" w:space="0" w:color="auto"/>
        <w:bottom w:val="none" w:sz="0" w:space="0" w:color="auto"/>
        <w:right w:val="none" w:sz="0" w:space="0" w:color="auto"/>
      </w:divBdr>
    </w:div>
    <w:div w:id="1397822661">
      <w:bodyDiv w:val="1"/>
      <w:marLeft w:val="0"/>
      <w:marRight w:val="0"/>
      <w:marTop w:val="0"/>
      <w:marBottom w:val="0"/>
      <w:divBdr>
        <w:top w:val="none" w:sz="0" w:space="0" w:color="auto"/>
        <w:left w:val="none" w:sz="0" w:space="0" w:color="auto"/>
        <w:bottom w:val="none" w:sz="0" w:space="0" w:color="auto"/>
        <w:right w:val="none" w:sz="0" w:space="0" w:color="auto"/>
      </w:divBdr>
    </w:div>
    <w:div w:id="168914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2025-04-07T15:32:00Z</dcterms:created>
  <dcterms:modified xsi:type="dcterms:W3CDTF">2025-04-07T15:58:00Z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id="8ubvCC6Z"/&gt;&lt;style id="http://www.zotero.org/styles/harvard-cite-them-right" hasBibliography="1" bibliographyStyleHasBeenSet="1"/&gt;&lt;prefs&gt;&lt;pref name="fieldType" value="Field"/&gt;&lt;/prefs&gt;&lt;/data&gt;</vt:lpwstr>
  </property>
</Properties>
</file>