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DD7FF" w14:textId="720C72E2" w:rsidR="008356EB" w:rsidRPr="003844F5" w:rsidRDefault="007A37FA">
      <w:pPr>
        <w:rPr>
          <w:b/>
          <w:bCs/>
          <w:lang w:val="pt-PT"/>
        </w:rPr>
      </w:pPr>
      <w:r w:rsidRPr="003844F5">
        <w:rPr>
          <w:b/>
          <w:bCs/>
          <w:lang w:val="pt-PT"/>
        </w:rPr>
        <w:t xml:space="preserve">Peer response – Noora </w:t>
      </w:r>
    </w:p>
    <w:p w14:paraId="12C116AA" w14:textId="57C27EF4" w:rsidR="002A3D07" w:rsidRPr="002A3D07" w:rsidRDefault="002A3D07" w:rsidP="00D21C44">
      <w:pPr>
        <w:jc w:val="both"/>
      </w:pPr>
      <w:r w:rsidRPr="002A3D07">
        <w:t xml:space="preserve">Noora and Marwa </w:t>
      </w:r>
      <w:r w:rsidR="004D64B0">
        <w:t xml:space="preserve">discussed </w:t>
      </w:r>
      <w:r w:rsidRPr="002A3D07">
        <w:t xml:space="preserve">the complex ethical implications associated with deep learning technologies such as DALL·E and ChatGPT. As they observe, the rapid proliferation of AI-generated content increasingly blurs the boundary between human creativity and algorithmically produced outputs, raising significant concerns around authenticity and trust. The potential misuse of deepfakes and AI-generated text introduces serious risks, including the spread of misinformation and reputational damage </w:t>
      </w:r>
      <w:r>
        <w:fldChar w:fldCharType="begin"/>
      </w:r>
      <w:r>
        <w:instrText xml:space="preserve"> ADDIN ZOTERO_ITEM CSL_CITATION {"citationID":"etf9ugsn","properties":{"formattedCitation":"(Marr, 2024)","plainCitation":"(Marr, 2024)","noteIndex":0},"citationItems":[{"id":268,"uris":["http://zotero.org/users/local/kYTWq1ZA/items/HAVB3FYV"],"itemData":{"id":268,"type":"webpage","container-title":"Forbes","title":"The Dark Side Of AI: How Deepfakes And Disinformation Are Becoming A Billion-Dollar Business Risk","URL":"https://www.forbes.com/sites/bernardmarr/2024/11/06/the-dark-side-of-ai-how-deepfakes-and-disinformation-are-becoming-a-billion-dollar-business-risk/","author":[{"family":"Marr","given":"Bernard"}],"accessed":{"date-parts":[["2025",4,7]]},"issued":{"date-parts":[["2024",11,6]]}}}],"schema":"https://github.com/citation-style-language/schema/raw/master/csl-citation.json"} </w:instrText>
      </w:r>
      <w:r>
        <w:fldChar w:fldCharType="separate"/>
      </w:r>
      <w:r w:rsidRPr="002A3D07">
        <w:rPr>
          <w:rFonts w:ascii="Aptos" w:hAnsi="Aptos"/>
        </w:rPr>
        <w:t>(Marr, 2024)</w:t>
      </w:r>
      <w:r>
        <w:fldChar w:fldCharType="end"/>
      </w:r>
      <w:r w:rsidRPr="002A3D07">
        <w:t xml:space="preserve">. Furthermore, </w:t>
      </w:r>
      <w:r w:rsidR="004D64B0">
        <w:t xml:space="preserve">the lingering uncertainty </w:t>
      </w:r>
      <w:r w:rsidRPr="002A3D07">
        <w:t xml:space="preserve">regarding copyright and intellectual property rights </w:t>
      </w:r>
      <w:r w:rsidR="004D64B0">
        <w:t>raises</w:t>
      </w:r>
      <w:r w:rsidRPr="002A3D07">
        <w:t xml:space="preserve"> </w:t>
      </w:r>
      <w:r w:rsidR="004D64B0">
        <w:t xml:space="preserve">important </w:t>
      </w:r>
      <w:r w:rsidRPr="002A3D07">
        <w:t xml:space="preserve">questions about the legal </w:t>
      </w:r>
      <w:r w:rsidR="004D64B0">
        <w:t>status</w:t>
      </w:r>
      <w:r w:rsidRPr="002A3D07">
        <w:t xml:space="preserve"> of original creators versus those who employ </w:t>
      </w:r>
      <w:r w:rsidR="004D64B0">
        <w:t xml:space="preserve">or develop </w:t>
      </w:r>
      <w:r w:rsidRPr="002A3D07">
        <w:t>AI tools for content production</w:t>
      </w:r>
      <w:r>
        <w:t xml:space="preserve"> </w:t>
      </w:r>
      <w:r>
        <w:fldChar w:fldCharType="begin"/>
      </w:r>
      <w:r>
        <w:instrText xml:space="preserve"> ADDIN ZOTERO_ITEM CSL_CITATION {"citationID":"cF67jvz3","properties":{"formattedCitation":"(Bracha, 2023)","plainCitation":"(Bracha, 2023)","noteIndex":0},"citationItems":[{"id":272,"uris":["http://zotero.org/users/local/kYTWq1ZA/items/5AIVC3V7"],"itemData":{"id":272,"type":"article","abstract":"The advent of powerful Generative Artificial Intelligence (GenAI) marks a revolutionary moment in our system of cultural production. The challenge it poses is twofold: (1) Internally, to existing copyright-based business models of cultural production; and (2) Externally, by threating human authors more generally, it raises a deeper set of anxieties concerning livelihood, the inherent value of creativity, and deep innovation. This Article seeks to disentangle these two concerns, to avoid understandable variants of the latter resulting in distorting the former. Such disentanglement is necessary to ensure that copyright does not become the misguided vehicle for addressing larger cultural anxieties about ‘machine creativity’ that it is ill-suited to handle. The Articles examines broad arguments of GenAI copyright infringement by resorting to and elaborating copyright’s fundamental principles. It argues that, contrary to conventional wisdom, many of these arguments should be rejected on foundational grounds concerning the proper domain of copyright’s subject matter, rather than on secondary grounds going to the scope of copyright’s protection. This applies to both the upstream and downstream levels of the GenAI production process. With respect to the upstream level, the entire central legal debate is misguided. Both sides in this debate assume that reproduction of copyrighted works, strictly as part of the training process, is infringing, and disagree whether it is exempted as fair use. In fact, reproduction strictly limited for training purposes is not infringing on the more fundamental ground of not using any copyrightable subject matter, without ever needing to reach the fair use question. For purposes of copyright, the mere creation of a copy whose expressive use value will be consumed by no one is an irrelevant physical fact. On the downstream level, the argument that copying of creators’ “style” is infringing is subject to a similar analysis. GenAI outputs that replicates a creator’s general style rather than any specific work pertains to informational subject matter that has always been outside’s copyright domain. Subject matter rules play a dual function in this area. Internally, they ensure that protection does not extend to informational elements that copyright’s policy balance requires remain free. Externally, they prevent attempts to weaponize copyright to address genuine GenAI cultural policy concerns, albeit ones the field is neither designed nor equipped to handle.","DOI":"10.2139/ssrn.4581738","event-place":"Rochester, NY","genre":"SSRN Scholarly Paper","language":"en","number":"4581738","publisher":"Social Science Research Network","publisher-place":"Rochester, NY","source":"papers.ssrn.com","title":"The Work of Copyright in the Age of Machine Production","URL":"https://papers.ssrn.com/abstract=4581738","author":[{"family":"Bracha","given":"Oren"}],"accessed":{"date-parts":[["2025",4,7]]},"issued":{"date-parts":[["2023",9,24]]}}}],"schema":"https://github.com/citation-style-language/schema/raw/master/csl-citation.json"} </w:instrText>
      </w:r>
      <w:r>
        <w:fldChar w:fldCharType="separate"/>
      </w:r>
      <w:r w:rsidRPr="002A3D07">
        <w:rPr>
          <w:rFonts w:ascii="Aptos" w:hAnsi="Aptos"/>
        </w:rPr>
        <w:t>(Bracha, 2023)</w:t>
      </w:r>
      <w:r>
        <w:fldChar w:fldCharType="end"/>
      </w:r>
      <w:r w:rsidRPr="002A3D07">
        <w:t>.</w:t>
      </w:r>
    </w:p>
    <w:p w14:paraId="148F338E" w14:textId="5284538C" w:rsidR="002A3D07" w:rsidRPr="002A3D07" w:rsidRDefault="002A3D07" w:rsidP="00D21C44">
      <w:pPr>
        <w:jc w:val="both"/>
      </w:pPr>
      <w:r w:rsidRPr="002A3D07">
        <w:t xml:space="preserve">Expanding on these concerns, it is crucial to consider the broader societal implications of generative AI within creative industries. While these technologies offer enhanced productivity and innovation, they simultaneously pose a threat to existing creative job ecosystems by prioritizing </w:t>
      </w:r>
      <w:r w:rsidR="004D64B0">
        <w:t>efficient</w:t>
      </w:r>
      <w:r w:rsidRPr="002A3D07">
        <w:t xml:space="preserve"> output</w:t>
      </w:r>
      <w:r w:rsidR="004D64B0">
        <w:t xml:space="preserve"> generation </w:t>
      </w:r>
      <w:r w:rsidRPr="002A3D07">
        <w:t xml:space="preserve">over human expression—potentially leading to widespread job displacement </w:t>
      </w:r>
      <w:r w:rsidR="004D64B0">
        <w:fldChar w:fldCharType="begin"/>
      </w:r>
      <w:r w:rsidR="004D64B0">
        <w:instrText xml:space="preserve"> ADDIN ZOTERO_ITEM CSL_CITATION {"citationID":"cdU1k5FB","properties":{"formattedCitation":"(Erickson, 2024)","plainCitation":"(Erickson, 2024)","noteIndex":0},"citationItems":[{"id":275,"uris":["http://zotero.org/users/local/kYTWq1ZA/items/PA7RKMVM"],"itemData":{"id":275,"type":"article","abstract":"There is current uncertainty about the effects of generative AI technologies on labour markets and conditions of work in creative industries. Previous scholarship identifies the potential for both replacement and displacement of human labour due to AI adoption. This article examines potential effects of AI adoption by drawing on case studies of 6 firms that commercialised products using AI, empirically investigating conditions of work and mechanisms by which human creative labour might be replaced or displaced by AI technology. The main findings are that AI products were more labour intensive than traditional media products because they combined traditional production skills and new computational expertise. Paradoxically, contributions by human workers tended to be invisibilised in final products that foregrounded the role of AI technology. There was potential for displacement of human labour, mainly in the ideation phase, with AI enabling producers to explore different creative possibilities. Some AI products had the potential to compete with earlier production methods (e.g. AIgenerated imagery vs. stock photography). Overall, case study findings were consistent with ongoing challenges from digitalisation: conditions of deskilling, re-skilling, flexible employment and uncertainty remain intense for small firms engaged in AI-assisted creative production.","DOI":"10.1080/17510694.2024.2421135","event-place":"Rochester, NY","genre":"SSRN Scholarly Paper","language":"en","number":"5006065","publisher":"Social Science Research Network","publisher-place":"Rochester, NY","source":"papers.ssrn.com","title":"AI and Work in the Creative Industries: Digital Continuity or Discontinuity?","title-short":"AI and Work in the Creative Industries","URL":"https://papers.ssrn.com/abstract=5006065","author":[{"family":"Erickson","given":"Kristofer"}],"accessed":{"date-parts":[["2025",4,7]]},"issued":{"date-parts":[["2024",10,28]]}}}],"schema":"https://github.com/citation-style-language/schema/raw/master/csl-citation.json"} </w:instrText>
      </w:r>
      <w:r w:rsidR="004D64B0">
        <w:fldChar w:fldCharType="separate"/>
      </w:r>
      <w:r w:rsidR="004D64B0" w:rsidRPr="004D64B0">
        <w:rPr>
          <w:rFonts w:ascii="Aptos" w:hAnsi="Aptos"/>
        </w:rPr>
        <w:t>(Erickson, 2024)</w:t>
      </w:r>
      <w:r w:rsidR="004D64B0">
        <w:fldChar w:fldCharType="end"/>
      </w:r>
      <w:r w:rsidRPr="002A3D07">
        <w:t>. In this evolving landscape, education and training programs must adapt to equip the workforce with skills relevant to an AI-integrated creative economy. Moreover, fostering collaboration between AI systems and human creators could enable innovative synergies, amplifying artistic expression without compromising authenticity</w:t>
      </w:r>
      <w:r w:rsidR="004D64B0">
        <w:t xml:space="preserve"> </w:t>
      </w:r>
      <w:r w:rsidR="004D64B0">
        <w:fldChar w:fldCharType="begin"/>
      </w:r>
      <w:r w:rsidR="004D64B0">
        <w:instrText xml:space="preserve"> ADDIN ZOTERO_ITEM CSL_CITATION {"citationID":"zlHIsO6r","properties":{"formattedCitation":"(Sharma, 2025)","plainCitation":"(Sharma, 2025)","noteIndex":0},"citationItems":[{"id":274,"uris":["http://zotero.org/users/local/kYTWq1ZA/items/7G4UWE3L"],"itemData":{"id":274,"type":"article-journal","abstract":"Generative AI is reshaping creative industries by enabling the automated creation of art, music, and written content. This paper explores the capabilities and limitations of generative AI models, such as GANs and transformer-based architectures, in fostering innovation across artistic domains. Case studies highlight successful applications in digital art, music composition, and scriptwriting, demonstrating how AI complements human creativity. Ethical concerns, including originality, copyright, and the potential displacement of artists, are critically examined. The paper concludes with recommendations for integrating generative AI responsibly into the creative ecosystem.","container-title":"International Journal of Machine Learning and Artificial Intelligence","issue":"6","language":"en","note":"number: 6","source":"jmlai.in","title":"The Role of Generative AI in Creative Industries: Transforming Art, Music, and Content Production","title-short":"The Role of Generative AI in Creative Industries","URL":"https://jmlai.in/index.php/ijmlai/article/view/65","volume":"6","author":[{"family":"Sharma","given":"Dr Love"}],"accessed":{"date-parts":[["2025",4,7]]},"issued":{"date-parts":[["2025",1,17]]}}}],"schema":"https://github.com/citation-style-language/schema/raw/master/csl-citation.json"} </w:instrText>
      </w:r>
      <w:r w:rsidR="004D64B0">
        <w:fldChar w:fldCharType="separate"/>
      </w:r>
      <w:r w:rsidR="004D64B0" w:rsidRPr="004D64B0">
        <w:rPr>
          <w:rFonts w:ascii="Aptos" w:hAnsi="Aptos"/>
        </w:rPr>
        <w:t>(Sharma, 2025)</w:t>
      </w:r>
      <w:r w:rsidR="004D64B0">
        <w:fldChar w:fldCharType="end"/>
      </w:r>
      <w:r w:rsidRPr="002A3D07">
        <w:t>.</w:t>
      </w:r>
      <w:r w:rsidR="004D64B0">
        <w:t xml:space="preserve"> </w:t>
      </w:r>
      <w:r w:rsidR="00132E13" w:rsidRPr="00132E13">
        <w:t>Ultimately, the timely establishment of ethical frameworks and regulatory measures tailored to AI-generated content is essential to safeguard foundational societal values</w:t>
      </w:r>
      <w:r w:rsidR="00132E13">
        <w:t xml:space="preserve"> </w:t>
      </w:r>
      <w:r w:rsidR="00132E13" w:rsidRPr="00132E13">
        <w:t>—</w:t>
      </w:r>
      <w:r w:rsidR="00132E13">
        <w:t xml:space="preserve"> </w:t>
      </w:r>
      <w:r w:rsidR="00132E13" w:rsidRPr="00132E13">
        <w:t xml:space="preserve">creativity, trust, </w:t>
      </w:r>
      <w:r w:rsidR="00132E13">
        <w:t xml:space="preserve">independence, </w:t>
      </w:r>
      <w:r w:rsidR="00132E13" w:rsidRPr="00132E13">
        <w:t>and ownership—in an increasingly automated creative landscape.</w:t>
      </w:r>
    </w:p>
    <w:p w14:paraId="54B9801D" w14:textId="66493A59" w:rsidR="002A3D07" w:rsidRPr="002A3D07" w:rsidRDefault="002A3D07" w:rsidP="00D21C44">
      <w:pPr>
        <w:jc w:val="both"/>
      </w:pPr>
      <w:r w:rsidRPr="002A3D07">
        <w:t>In conclusion, as generative AI capabilities continue to advance, addressing their associated ethical challenges is imperative. The development of clear regulatory frameworks, along with increased public awareness of AI’s role in the creative process, will be essential to maximizing the benefits of these technologies while minimizing their risks.</w:t>
      </w:r>
    </w:p>
    <w:p w14:paraId="110B4ECF" w14:textId="77777777" w:rsidR="003844F5" w:rsidRPr="003844F5" w:rsidRDefault="003844F5" w:rsidP="003844F5">
      <w:r w:rsidRPr="003844F5">
        <w:rPr>
          <w:b/>
          <w:bCs/>
        </w:rPr>
        <w:t>References</w:t>
      </w:r>
      <w:r w:rsidRPr="003844F5">
        <w:t>:</w:t>
      </w:r>
    </w:p>
    <w:p w14:paraId="0B9AC54C" w14:textId="77777777" w:rsidR="004D64B0" w:rsidRPr="004D64B0" w:rsidRDefault="004D64B0" w:rsidP="004D64B0">
      <w:pPr>
        <w:pStyle w:val="Bibliography"/>
        <w:rPr>
          <w:rFonts w:ascii="Aptos" w:hAnsi="Aptos"/>
        </w:rPr>
      </w:pPr>
      <w:r>
        <w:rPr>
          <w:lang w:val="pt-PT"/>
        </w:rPr>
        <w:fldChar w:fldCharType="begin"/>
      </w:r>
      <w:r w:rsidRPr="004D64B0">
        <w:instrText xml:space="preserve"> ADDIN ZOTERO_BIBL {"uncited":[],"omitted":[],"custom":[]} CSL_BIBLIOGRAPHY </w:instrText>
      </w:r>
      <w:r>
        <w:rPr>
          <w:lang w:val="pt-PT"/>
        </w:rPr>
        <w:fldChar w:fldCharType="separate"/>
      </w:r>
      <w:r w:rsidRPr="004D64B0">
        <w:rPr>
          <w:rFonts w:ascii="Aptos" w:hAnsi="Aptos"/>
        </w:rPr>
        <w:t>Bracha, O. (2023) ‘The Work of Copyright in the Age of Machine Production’. Rochester, NY: Social Science Research Network. Available at: https://doi.org/10.2139/ssrn.4581738.</w:t>
      </w:r>
    </w:p>
    <w:p w14:paraId="4B8F9DE5" w14:textId="77777777" w:rsidR="004D64B0" w:rsidRPr="004D64B0" w:rsidRDefault="004D64B0" w:rsidP="004D64B0">
      <w:pPr>
        <w:pStyle w:val="Bibliography"/>
        <w:rPr>
          <w:rFonts w:ascii="Aptos" w:hAnsi="Aptos"/>
        </w:rPr>
      </w:pPr>
      <w:r w:rsidRPr="004D64B0">
        <w:rPr>
          <w:rFonts w:ascii="Aptos" w:hAnsi="Aptos"/>
        </w:rPr>
        <w:t>Erickson, K. (2024) ‘AI and Work in the Creative Industries: Digital Continuity or Discontinuity?’ Rochester, NY: Social Science Research Network. Available at: https://doi.org/10.1080/17510694.2024.2421135.</w:t>
      </w:r>
    </w:p>
    <w:p w14:paraId="5FA93740" w14:textId="77777777" w:rsidR="004D64B0" w:rsidRPr="004D64B0" w:rsidRDefault="004D64B0" w:rsidP="004D64B0">
      <w:pPr>
        <w:pStyle w:val="Bibliography"/>
        <w:rPr>
          <w:rFonts w:ascii="Aptos" w:hAnsi="Aptos"/>
        </w:rPr>
      </w:pPr>
      <w:r w:rsidRPr="004D64B0">
        <w:rPr>
          <w:rFonts w:ascii="Aptos" w:hAnsi="Aptos"/>
        </w:rPr>
        <w:t xml:space="preserve">Marr, B. (2024) </w:t>
      </w:r>
      <w:r w:rsidRPr="004D64B0">
        <w:rPr>
          <w:rFonts w:ascii="Aptos" w:hAnsi="Aptos"/>
          <w:i/>
          <w:iCs/>
        </w:rPr>
        <w:t xml:space="preserve">The Dark Side Of AI: How Deepfakes </w:t>
      </w:r>
      <w:proofErr w:type="gramStart"/>
      <w:r w:rsidRPr="004D64B0">
        <w:rPr>
          <w:rFonts w:ascii="Aptos" w:hAnsi="Aptos"/>
          <w:i/>
          <w:iCs/>
        </w:rPr>
        <w:t>And</w:t>
      </w:r>
      <w:proofErr w:type="gramEnd"/>
      <w:r w:rsidRPr="004D64B0">
        <w:rPr>
          <w:rFonts w:ascii="Aptos" w:hAnsi="Aptos"/>
          <w:i/>
          <w:iCs/>
        </w:rPr>
        <w:t xml:space="preserve"> Disinformation Are Becoming A Billion-Dollar Business Risk</w:t>
      </w:r>
      <w:r w:rsidRPr="004D64B0">
        <w:rPr>
          <w:rFonts w:ascii="Aptos" w:hAnsi="Aptos"/>
        </w:rPr>
        <w:t xml:space="preserve">, </w:t>
      </w:r>
      <w:r w:rsidRPr="004D64B0">
        <w:rPr>
          <w:rFonts w:ascii="Aptos" w:hAnsi="Aptos"/>
          <w:i/>
          <w:iCs/>
        </w:rPr>
        <w:t>Forbes</w:t>
      </w:r>
      <w:r w:rsidRPr="004D64B0">
        <w:rPr>
          <w:rFonts w:ascii="Aptos" w:hAnsi="Aptos"/>
        </w:rPr>
        <w:t>. Available at: https://www.forbes.com/sites/bernardmarr/2024/11/06/the-dark-side-of-ai-how-deepfakes-and-disinformation-are-becoming-a-billion-dollar-business-risk/ (Accessed: 7 April 2025).</w:t>
      </w:r>
    </w:p>
    <w:p w14:paraId="79B98304" w14:textId="77777777" w:rsidR="004D64B0" w:rsidRPr="004D64B0" w:rsidRDefault="004D64B0" w:rsidP="004D64B0">
      <w:pPr>
        <w:pStyle w:val="Bibliography"/>
        <w:rPr>
          <w:rFonts w:ascii="Aptos" w:hAnsi="Aptos"/>
        </w:rPr>
      </w:pPr>
      <w:r w:rsidRPr="004D64B0">
        <w:rPr>
          <w:rFonts w:ascii="Aptos" w:hAnsi="Aptos"/>
        </w:rPr>
        <w:t xml:space="preserve">Sharma, D.L. (2025) ‘The Role of Generative AI in Creative Industries: Transforming Art, Music, and Content Production’, </w:t>
      </w:r>
      <w:r w:rsidRPr="004D64B0">
        <w:rPr>
          <w:rFonts w:ascii="Aptos" w:hAnsi="Aptos"/>
          <w:i/>
          <w:iCs/>
        </w:rPr>
        <w:t>International Journal of Machine Learning and Artificial Intelligence</w:t>
      </w:r>
      <w:r w:rsidRPr="004D64B0">
        <w:rPr>
          <w:rFonts w:ascii="Aptos" w:hAnsi="Aptos"/>
        </w:rPr>
        <w:t>, 6(6). Available at: https://jmlai.in/index.php/ijmlai/article/view/65 (Accessed: 7 April 2025).</w:t>
      </w:r>
    </w:p>
    <w:p w14:paraId="5C520CA5" w14:textId="2F6B2E19" w:rsidR="003844F5" w:rsidRPr="007A37FA" w:rsidRDefault="004D64B0">
      <w:pPr>
        <w:rPr>
          <w:lang w:val="pt-PT"/>
        </w:rPr>
      </w:pPr>
      <w:r>
        <w:rPr>
          <w:lang w:val="pt-PT"/>
        </w:rPr>
        <w:fldChar w:fldCharType="end"/>
      </w:r>
    </w:p>
    <w:sectPr w:rsidR="003844F5" w:rsidRPr="007A3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86790"/>
    <w:multiLevelType w:val="multilevel"/>
    <w:tmpl w:val="B7C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13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FA"/>
    <w:rsid w:val="0000160A"/>
    <w:rsid w:val="00132E13"/>
    <w:rsid w:val="002A3D07"/>
    <w:rsid w:val="003844F5"/>
    <w:rsid w:val="004B205C"/>
    <w:rsid w:val="004D64B0"/>
    <w:rsid w:val="007A37FA"/>
    <w:rsid w:val="008356EB"/>
    <w:rsid w:val="00951D80"/>
    <w:rsid w:val="009B34CC"/>
    <w:rsid w:val="00A42076"/>
    <w:rsid w:val="00D21C44"/>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A4AF"/>
  <w15:chartTrackingRefBased/>
  <w15:docId w15:val="{F3EAD6E9-B1F2-4CE1-8809-725F15DC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7FA"/>
    <w:rPr>
      <w:rFonts w:eastAsiaTheme="majorEastAsia" w:cstheme="majorBidi"/>
      <w:color w:val="272727" w:themeColor="text1" w:themeTint="D8"/>
    </w:rPr>
  </w:style>
  <w:style w:type="paragraph" w:styleId="Title">
    <w:name w:val="Title"/>
    <w:basedOn w:val="Normal"/>
    <w:next w:val="Normal"/>
    <w:link w:val="TitleChar"/>
    <w:uiPriority w:val="10"/>
    <w:qFormat/>
    <w:rsid w:val="007A3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7FA"/>
    <w:pPr>
      <w:spacing w:before="160"/>
      <w:jc w:val="center"/>
    </w:pPr>
    <w:rPr>
      <w:i/>
      <w:iCs/>
      <w:color w:val="404040" w:themeColor="text1" w:themeTint="BF"/>
    </w:rPr>
  </w:style>
  <w:style w:type="character" w:customStyle="1" w:styleId="QuoteChar">
    <w:name w:val="Quote Char"/>
    <w:basedOn w:val="DefaultParagraphFont"/>
    <w:link w:val="Quote"/>
    <w:uiPriority w:val="29"/>
    <w:rsid w:val="007A37FA"/>
    <w:rPr>
      <w:i/>
      <w:iCs/>
      <w:color w:val="404040" w:themeColor="text1" w:themeTint="BF"/>
    </w:rPr>
  </w:style>
  <w:style w:type="paragraph" w:styleId="ListParagraph">
    <w:name w:val="List Paragraph"/>
    <w:basedOn w:val="Normal"/>
    <w:uiPriority w:val="34"/>
    <w:qFormat/>
    <w:rsid w:val="007A37FA"/>
    <w:pPr>
      <w:ind w:left="720"/>
      <w:contextualSpacing/>
    </w:pPr>
  </w:style>
  <w:style w:type="character" w:styleId="IntenseEmphasis">
    <w:name w:val="Intense Emphasis"/>
    <w:basedOn w:val="DefaultParagraphFont"/>
    <w:uiPriority w:val="21"/>
    <w:qFormat/>
    <w:rsid w:val="007A37FA"/>
    <w:rPr>
      <w:i/>
      <w:iCs/>
      <w:color w:val="0F4761" w:themeColor="accent1" w:themeShade="BF"/>
    </w:rPr>
  </w:style>
  <w:style w:type="paragraph" w:styleId="IntenseQuote">
    <w:name w:val="Intense Quote"/>
    <w:basedOn w:val="Normal"/>
    <w:next w:val="Normal"/>
    <w:link w:val="IntenseQuoteChar"/>
    <w:uiPriority w:val="30"/>
    <w:qFormat/>
    <w:rsid w:val="007A3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7FA"/>
    <w:rPr>
      <w:i/>
      <w:iCs/>
      <w:color w:val="0F4761" w:themeColor="accent1" w:themeShade="BF"/>
    </w:rPr>
  </w:style>
  <w:style w:type="character" w:styleId="IntenseReference">
    <w:name w:val="Intense Reference"/>
    <w:basedOn w:val="DefaultParagraphFont"/>
    <w:uiPriority w:val="32"/>
    <w:qFormat/>
    <w:rsid w:val="007A37FA"/>
    <w:rPr>
      <w:b/>
      <w:bCs/>
      <w:smallCaps/>
      <w:color w:val="0F4761" w:themeColor="accent1" w:themeShade="BF"/>
      <w:spacing w:val="5"/>
    </w:rPr>
  </w:style>
  <w:style w:type="paragraph" w:styleId="Bibliography">
    <w:name w:val="Bibliography"/>
    <w:basedOn w:val="Normal"/>
    <w:next w:val="Normal"/>
    <w:uiPriority w:val="37"/>
    <w:unhideWhenUsed/>
    <w:rsid w:val="004D64B0"/>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19958">
      <w:bodyDiv w:val="1"/>
      <w:marLeft w:val="0"/>
      <w:marRight w:val="0"/>
      <w:marTop w:val="0"/>
      <w:marBottom w:val="0"/>
      <w:divBdr>
        <w:top w:val="none" w:sz="0" w:space="0" w:color="auto"/>
        <w:left w:val="none" w:sz="0" w:space="0" w:color="auto"/>
        <w:bottom w:val="none" w:sz="0" w:space="0" w:color="auto"/>
        <w:right w:val="none" w:sz="0" w:space="0" w:color="auto"/>
      </w:divBdr>
    </w:div>
    <w:div w:id="531111780">
      <w:bodyDiv w:val="1"/>
      <w:marLeft w:val="0"/>
      <w:marRight w:val="0"/>
      <w:marTop w:val="0"/>
      <w:marBottom w:val="0"/>
      <w:divBdr>
        <w:top w:val="none" w:sz="0" w:space="0" w:color="auto"/>
        <w:left w:val="none" w:sz="0" w:space="0" w:color="auto"/>
        <w:bottom w:val="none" w:sz="0" w:space="0" w:color="auto"/>
        <w:right w:val="none" w:sz="0" w:space="0" w:color="auto"/>
      </w:divBdr>
    </w:div>
    <w:div w:id="1954896671">
      <w:bodyDiv w:val="1"/>
      <w:marLeft w:val="0"/>
      <w:marRight w:val="0"/>
      <w:marTop w:val="0"/>
      <w:marBottom w:val="0"/>
      <w:divBdr>
        <w:top w:val="none" w:sz="0" w:space="0" w:color="auto"/>
        <w:left w:val="none" w:sz="0" w:space="0" w:color="auto"/>
        <w:bottom w:val="none" w:sz="0" w:space="0" w:color="auto"/>
        <w:right w:val="none" w:sz="0" w:space="0" w:color="auto"/>
      </w:divBdr>
    </w:div>
    <w:div w:id="197744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2025-04-07T14:26:00Z</dcterms:created>
  <dcterms:modified xsi:type="dcterms:W3CDTF">2025-04-07T15:27:00Z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id="8X15S8ow"/&gt;&lt;style id="http://www.zotero.org/styles/harvard-cite-them-right" hasBibliography="1" bibliographyStyleHasBeenSet="1"/&gt;&lt;prefs&gt;&lt;pref name="fieldType" value="Field"/&gt;&lt;/prefs&gt;&lt;/data&gt;</vt:lpwstr>
  </property>
</Properties>
</file>