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B1848" w14:textId="17FECC8D" w:rsidR="008356EB" w:rsidRDefault="00ED622E" w:rsidP="00ED622E">
      <w:pPr>
        <w:jc w:val="center"/>
        <w:rPr>
          <w:b/>
          <w:bCs/>
          <w:lang w:val="pt-PT"/>
        </w:rPr>
      </w:pPr>
      <w:r w:rsidRPr="00ED622E">
        <w:rPr>
          <w:b/>
          <w:bCs/>
          <w:lang w:val="pt-PT"/>
        </w:rPr>
        <w:t>Summary post</w:t>
      </w:r>
    </w:p>
    <w:p w14:paraId="039BE4D1" w14:textId="313C0FDD" w:rsidR="00ED622E" w:rsidRPr="00ED622E" w:rsidRDefault="00ED622E" w:rsidP="00ED622E">
      <w:pPr>
        <w:jc w:val="both"/>
      </w:pPr>
      <w:r w:rsidRPr="00ED622E">
        <w:t>Knowledge representation (KR) encompasses methods for symbolizing information that enables computer systems to perform complex tasks. Despite being perceived as a recent development, KR has deep historical roots dating back to ancient civilizations like the Sumerians and Egyptians, who used writing systems to document knowledge. Greek philosophers further illustrated early KR through logical structures, reflecting longstanding intellectual tradition</w:t>
      </w:r>
      <w:r w:rsidR="007B7974">
        <w:t>s</w:t>
      </w:r>
      <w:r w:rsidRPr="00ED622E">
        <w:t>. The digital era has elevated the role of KR, making it a central aspect of handling massive data volumes, thanks to advanced computational capabilities and scalable systems (Davis et al., 1992; Brachman &amp; Levesque, 2004). Reasoning and KR are intertwined, as the former leverages the latter to derive insights. However, KR remains valuable independently, supporting human interaction with data by organizing and storing information systematically (Russell &amp; Norvig, 2010).</w:t>
      </w:r>
    </w:p>
    <w:p w14:paraId="0EA5DFD9" w14:textId="77777777" w:rsidR="00ED622E" w:rsidRPr="00ED622E" w:rsidRDefault="00ED622E" w:rsidP="00ED622E">
      <w:pPr>
        <w:jc w:val="both"/>
      </w:pPr>
      <w:r w:rsidRPr="00ED622E">
        <w:t>Nikolaos emphasized the ancient origins of KR, reinforcing the assertion that the human inclination to systematically represent knowledge predates modern computing (</w:t>
      </w:r>
      <w:proofErr w:type="spellStart"/>
      <w:r w:rsidRPr="00ED622E">
        <w:t>Weststeijn</w:t>
      </w:r>
      <w:proofErr w:type="spellEnd"/>
      <w:r w:rsidRPr="00ED622E">
        <w:t xml:space="preserve">, 2011). He noted KR's standalone significance, echoing Nilsson's (1998) view that KR offers value beyond reasoning. Nikolaos also highlighted the transition from historical to contemporary KR forms, such as semantic networks, aligning with Brachman &amp; Levesque (2004) on modernization without fundamental change. Jaco supported the view that KR is independently valuable, citing </w:t>
      </w:r>
      <w:proofErr w:type="spellStart"/>
      <w:r w:rsidRPr="00ED622E">
        <w:t>Delgrande</w:t>
      </w:r>
      <w:proofErr w:type="spellEnd"/>
      <w:r w:rsidRPr="00ED622E">
        <w:t xml:space="preserve"> et al. (2023) that KR facilitates reasoning, while Choi et al. (2021) demonstrated KR's utility in organizing information, enabling users to manage and interact with data effectively without automated reasoning.</w:t>
      </w:r>
    </w:p>
    <w:p w14:paraId="0C894AF9" w14:textId="77777777" w:rsidR="00ED622E" w:rsidRPr="00ED622E" w:rsidRDefault="00ED622E" w:rsidP="00ED622E">
      <w:pPr>
        <w:jc w:val="both"/>
      </w:pPr>
      <w:r w:rsidRPr="00ED622E">
        <w:t>In conclusion, KR has been a vital component of human knowledge management across history, with its importance magnified in the digital age. Its role in reasoning systems is pivotal, yet its independent ability to organize and store knowledge ensures it remains a fundamental tool, aiding meaningful human interaction and decision-making.</w:t>
      </w:r>
    </w:p>
    <w:p w14:paraId="0A0DDC58" w14:textId="77777777" w:rsidR="00ED622E" w:rsidRPr="00ED622E" w:rsidRDefault="00ED622E" w:rsidP="00ED622E">
      <w:pPr>
        <w:jc w:val="both"/>
      </w:pPr>
      <w:r w:rsidRPr="00ED622E">
        <w:t>References</w:t>
      </w:r>
    </w:p>
    <w:p w14:paraId="50CAE40D" w14:textId="77777777" w:rsidR="00ED622E" w:rsidRPr="00ED622E" w:rsidRDefault="00ED622E" w:rsidP="00ED622E">
      <w:pPr>
        <w:numPr>
          <w:ilvl w:val="0"/>
          <w:numId w:val="2"/>
        </w:numPr>
        <w:jc w:val="both"/>
      </w:pPr>
      <w:r w:rsidRPr="00ED622E">
        <w:t>Brachman, R. J., &amp; Levesque, H. J. (2004). </w:t>
      </w:r>
      <w:r w:rsidRPr="00ED622E">
        <w:rPr>
          <w:i/>
          <w:iCs/>
        </w:rPr>
        <w:t>Knowledge Representation and Reasoning</w:t>
      </w:r>
      <w:r w:rsidRPr="00ED622E">
        <w:t>. Morgan Kaufmann.</w:t>
      </w:r>
    </w:p>
    <w:p w14:paraId="129B9686" w14:textId="77777777" w:rsidR="00ED622E" w:rsidRPr="00ED622E" w:rsidRDefault="00ED622E" w:rsidP="00ED622E">
      <w:pPr>
        <w:numPr>
          <w:ilvl w:val="0"/>
          <w:numId w:val="2"/>
        </w:numPr>
        <w:jc w:val="both"/>
      </w:pPr>
      <w:r w:rsidRPr="00ED622E">
        <w:t>Choi, B. et al. (2021). ‘</w:t>
      </w:r>
      <w:proofErr w:type="spellStart"/>
      <w:r w:rsidRPr="00ED622E">
        <w:t>OrgBox</w:t>
      </w:r>
      <w:proofErr w:type="spellEnd"/>
      <w:r w:rsidRPr="00ED622E">
        <w:t>: A Knowledge Representation Tool to Support Complex Search Tasks’, in Proceedings of the 2021 Conference on Human Information Interaction and Retrieval. New York, NY, USA: Association for Computing Machinery (CHIIR ’21), pp. 219–228. Available at: </w:t>
      </w:r>
      <w:hyperlink r:id="rId5" w:tgtFrame="_blank" w:history="1">
        <w:r w:rsidRPr="00ED622E">
          <w:rPr>
            <w:rStyle w:val="Hyperlink"/>
          </w:rPr>
          <w:t>https://doi.org/10.1145/3406522.3446029</w:t>
        </w:r>
      </w:hyperlink>
      <w:r w:rsidRPr="00ED622E">
        <w:t>.</w:t>
      </w:r>
    </w:p>
    <w:p w14:paraId="75EA5750" w14:textId="77777777" w:rsidR="00ED622E" w:rsidRPr="00ED622E" w:rsidRDefault="00ED622E" w:rsidP="00ED622E">
      <w:pPr>
        <w:numPr>
          <w:ilvl w:val="0"/>
          <w:numId w:val="2"/>
        </w:numPr>
        <w:jc w:val="both"/>
      </w:pPr>
      <w:r w:rsidRPr="00ED622E">
        <w:t xml:space="preserve">Davis, R., </w:t>
      </w:r>
      <w:proofErr w:type="spellStart"/>
      <w:r w:rsidRPr="00ED622E">
        <w:t>Shrobe</w:t>
      </w:r>
      <w:proofErr w:type="spellEnd"/>
      <w:r w:rsidRPr="00ED622E">
        <w:t xml:space="preserve">, H., &amp; </w:t>
      </w:r>
      <w:proofErr w:type="spellStart"/>
      <w:r w:rsidRPr="00ED622E">
        <w:t>Szolovits</w:t>
      </w:r>
      <w:proofErr w:type="spellEnd"/>
      <w:r w:rsidRPr="00ED622E">
        <w:t>, P. (1992). What is a Knowledge Representation? </w:t>
      </w:r>
      <w:r w:rsidRPr="00ED622E">
        <w:rPr>
          <w:i/>
          <w:iCs/>
        </w:rPr>
        <w:t>AI Magazine</w:t>
      </w:r>
      <w:r w:rsidRPr="00ED622E">
        <w:t>, 14(1), 17-33.</w:t>
      </w:r>
    </w:p>
    <w:p w14:paraId="3A248097" w14:textId="77777777" w:rsidR="00ED622E" w:rsidRPr="00ED622E" w:rsidRDefault="00ED622E" w:rsidP="00ED622E">
      <w:pPr>
        <w:numPr>
          <w:ilvl w:val="0"/>
          <w:numId w:val="2"/>
        </w:numPr>
        <w:jc w:val="both"/>
      </w:pPr>
      <w:r w:rsidRPr="00ED622E">
        <w:rPr>
          <w:lang w:val="pt-PT"/>
        </w:rPr>
        <w:t xml:space="preserve">Delgrande, J. P. et al. </w:t>
      </w:r>
      <w:r w:rsidRPr="00ED622E">
        <w:t xml:space="preserve">(2023). ‘Current and Future Challenges in Knowledge Representation and Reasoning’. </w:t>
      </w:r>
      <w:proofErr w:type="spellStart"/>
      <w:r w:rsidRPr="00ED622E">
        <w:t>arXiv</w:t>
      </w:r>
      <w:proofErr w:type="spellEnd"/>
      <w:r w:rsidRPr="00ED622E">
        <w:t>. Available at: </w:t>
      </w:r>
      <w:hyperlink r:id="rId6" w:tgtFrame="_blank" w:history="1">
        <w:r w:rsidRPr="00ED622E">
          <w:rPr>
            <w:rStyle w:val="Hyperlink"/>
          </w:rPr>
          <w:t>https://doi.org/10.48550/arXiv.2308.04161</w:t>
        </w:r>
      </w:hyperlink>
      <w:r w:rsidRPr="00ED622E">
        <w:t>.</w:t>
      </w:r>
    </w:p>
    <w:p w14:paraId="2565E352" w14:textId="77777777" w:rsidR="00ED622E" w:rsidRPr="00ED622E" w:rsidRDefault="00ED622E" w:rsidP="00ED622E">
      <w:pPr>
        <w:numPr>
          <w:ilvl w:val="0"/>
          <w:numId w:val="2"/>
        </w:numPr>
        <w:jc w:val="both"/>
      </w:pPr>
      <w:r w:rsidRPr="00ED622E">
        <w:t>Nilsson, N. J. (1998). </w:t>
      </w:r>
      <w:r w:rsidRPr="00ED622E">
        <w:rPr>
          <w:i/>
          <w:iCs/>
        </w:rPr>
        <w:t>Artificial Intelligence: A New Synthesis</w:t>
      </w:r>
      <w:r w:rsidRPr="00ED622E">
        <w:t>. Morgan Kaufmann.</w:t>
      </w:r>
    </w:p>
    <w:p w14:paraId="50CE78AF" w14:textId="77777777" w:rsidR="00ED622E" w:rsidRPr="00ED622E" w:rsidRDefault="00ED622E" w:rsidP="00ED622E">
      <w:pPr>
        <w:numPr>
          <w:ilvl w:val="0"/>
          <w:numId w:val="2"/>
        </w:numPr>
        <w:jc w:val="both"/>
      </w:pPr>
      <w:r w:rsidRPr="00ED622E">
        <w:t>Russell, S., &amp; Norvig, P. (2010). </w:t>
      </w:r>
      <w:r w:rsidRPr="00ED622E">
        <w:rPr>
          <w:i/>
          <w:iCs/>
        </w:rPr>
        <w:t>Artificial Intelligence: A Modern Approach (3rd ed.)</w:t>
      </w:r>
      <w:r w:rsidRPr="00ED622E">
        <w:t>. Prentice Hall.</w:t>
      </w:r>
    </w:p>
    <w:p w14:paraId="22DEBCD9" w14:textId="3984E975" w:rsidR="00ED622E" w:rsidRPr="00C228EE" w:rsidRDefault="00ED622E" w:rsidP="00C228EE">
      <w:pPr>
        <w:numPr>
          <w:ilvl w:val="0"/>
          <w:numId w:val="2"/>
        </w:numPr>
        <w:jc w:val="both"/>
      </w:pPr>
      <w:proofErr w:type="spellStart"/>
      <w:r w:rsidRPr="00ED622E">
        <w:t>Weststeijn</w:t>
      </w:r>
      <w:proofErr w:type="spellEnd"/>
      <w:r w:rsidRPr="00ED622E">
        <w:t>, T. (2011). 'From hieroglyphs to universal characters. Pictography in the early modern Netherlands', </w:t>
      </w:r>
      <w:r w:rsidRPr="00ED622E">
        <w:rPr>
          <w:i/>
          <w:iCs/>
        </w:rPr>
        <w:t xml:space="preserve">Netherlands Yearbook for History of Art / </w:t>
      </w:r>
      <w:proofErr w:type="spellStart"/>
      <w:r w:rsidRPr="00ED622E">
        <w:rPr>
          <w:i/>
          <w:iCs/>
        </w:rPr>
        <w:t>Nederlands</w:t>
      </w:r>
      <w:proofErr w:type="spellEnd"/>
      <w:r w:rsidRPr="00ED622E">
        <w:rPr>
          <w:i/>
          <w:iCs/>
        </w:rPr>
        <w:t xml:space="preserve"> </w:t>
      </w:r>
      <w:proofErr w:type="spellStart"/>
      <w:r w:rsidRPr="00ED622E">
        <w:rPr>
          <w:i/>
          <w:iCs/>
        </w:rPr>
        <w:t>Kunsthistorisch</w:t>
      </w:r>
      <w:proofErr w:type="spellEnd"/>
      <w:r w:rsidRPr="00ED622E">
        <w:rPr>
          <w:i/>
          <w:iCs/>
        </w:rPr>
        <w:t xml:space="preserve"> </w:t>
      </w:r>
      <w:proofErr w:type="spellStart"/>
      <w:r w:rsidRPr="00ED622E">
        <w:rPr>
          <w:i/>
          <w:iCs/>
        </w:rPr>
        <w:t>Jaarboek</w:t>
      </w:r>
      <w:proofErr w:type="spellEnd"/>
      <w:r w:rsidRPr="00ED622E">
        <w:t>, 61(1), pp. 238–281.</w:t>
      </w:r>
    </w:p>
    <w:sectPr w:rsidR="00ED622E" w:rsidRPr="00C22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BDE"/>
    <w:multiLevelType w:val="multilevel"/>
    <w:tmpl w:val="AA08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41FA5"/>
    <w:multiLevelType w:val="multilevel"/>
    <w:tmpl w:val="5240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128978">
    <w:abstractNumId w:val="0"/>
  </w:num>
  <w:num w:numId="2" w16cid:durableId="1332563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5A"/>
    <w:rsid w:val="004B205C"/>
    <w:rsid w:val="007B7974"/>
    <w:rsid w:val="008356EB"/>
    <w:rsid w:val="00951D80"/>
    <w:rsid w:val="00C228EE"/>
    <w:rsid w:val="00CE045A"/>
    <w:rsid w:val="00D55A4D"/>
    <w:rsid w:val="00E73439"/>
    <w:rsid w:val="00ED6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DD63"/>
  <w15:chartTrackingRefBased/>
  <w15:docId w15:val="{A653ED44-078E-4D18-ACB5-07A26395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4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45A"/>
    <w:rPr>
      <w:rFonts w:eastAsiaTheme="majorEastAsia" w:cstheme="majorBidi"/>
      <w:color w:val="272727" w:themeColor="text1" w:themeTint="D8"/>
    </w:rPr>
  </w:style>
  <w:style w:type="paragraph" w:styleId="Title">
    <w:name w:val="Title"/>
    <w:basedOn w:val="Normal"/>
    <w:next w:val="Normal"/>
    <w:link w:val="TitleChar"/>
    <w:uiPriority w:val="10"/>
    <w:qFormat/>
    <w:rsid w:val="00CE0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45A"/>
    <w:pPr>
      <w:spacing w:before="160"/>
      <w:jc w:val="center"/>
    </w:pPr>
    <w:rPr>
      <w:i/>
      <w:iCs/>
      <w:color w:val="404040" w:themeColor="text1" w:themeTint="BF"/>
    </w:rPr>
  </w:style>
  <w:style w:type="character" w:customStyle="1" w:styleId="QuoteChar">
    <w:name w:val="Quote Char"/>
    <w:basedOn w:val="DefaultParagraphFont"/>
    <w:link w:val="Quote"/>
    <w:uiPriority w:val="29"/>
    <w:rsid w:val="00CE045A"/>
    <w:rPr>
      <w:i/>
      <w:iCs/>
      <w:color w:val="404040" w:themeColor="text1" w:themeTint="BF"/>
    </w:rPr>
  </w:style>
  <w:style w:type="paragraph" w:styleId="ListParagraph">
    <w:name w:val="List Paragraph"/>
    <w:basedOn w:val="Normal"/>
    <w:uiPriority w:val="34"/>
    <w:qFormat/>
    <w:rsid w:val="00CE045A"/>
    <w:pPr>
      <w:ind w:left="720"/>
      <w:contextualSpacing/>
    </w:pPr>
  </w:style>
  <w:style w:type="character" w:styleId="IntenseEmphasis">
    <w:name w:val="Intense Emphasis"/>
    <w:basedOn w:val="DefaultParagraphFont"/>
    <w:uiPriority w:val="21"/>
    <w:qFormat/>
    <w:rsid w:val="00CE045A"/>
    <w:rPr>
      <w:i/>
      <w:iCs/>
      <w:color w:val="0F4761" w:themeColor="accent1" w:themeShade="BF"/>
    </w:rPr>
  </w:style>
  <w:style w:type="paragraph" w:styleId="IntenseQuote">
    <w:name w:val="Intense Quote"/>
    <w:basedOn w:val="Normal"/>
    <w:next w:val="Normal"/>
    <w:link w:val="IntenseQuoteChar"/>
    <w:uiPriority w:val="30"/>
    <w:qFormat/>
    <w:rsid w:val="00CE0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45A"/>
    <w:rPr>
      <w:i/>
      <w:iCs/>
      <w:color w:val="0F4761" w:themeColor="accent1" w:themeShade="BF"/>
    </w:rPr>
  </w:style>
  <w:style w:type="character" w:styleId="IntenseReference">
    <w:name w:val="Intense Reference"/>
    <w:basedOn w:val="DefaultParagraphFont"/>
    <w:uiPriority w:val="32"/>
    <w:qFormat/>
    <w:rsid w:val="00CE045A"/>
    <w:rPr>
      <w:b/>
      <w:bCs/>
      <w:smallCaps/>
      <w:color w:val="0F4761" w:themeColor="accent1" w:themeShade="BF"/>
      <w:spacing w:val="5"/>
    </w:rPr>
  </w:style>
  <w:style w:type="character" w:styleId="Hyperlink">
    <w:name w:val="Hyperlink"/>
    <w:basedOn w:val="DefaultParagraphFont"/>
    <w:uiPriority w:val="99"/>
    <w:unhideWhenUsed/>
    <w:rsid w:val="00ED622E"/>
    <w:rPr>
      <w:color w:val="467886" w:themeColor="hyperlink"/>
      <w:u w:val="single"/>
    </w:rPr>
  </w:style>
  <w:style w:type="character" w:styleId="UnresolvedMention">
    <w:name w:val="Unresolved Mention"/>
    <w:basedOn w:val="DefaultParagraphFont"/>
    <w:uiPriority w:val="99"/>
    <w:semiHidden/>
    <w:unhideWhenUsed/>
    <w:rsid w:val="00ED6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29750">
      <w:bodyDiv w:val="1"/>
      <w:marLeft w:val="0"/>
      <w:marRight w:val="0"/>
      <w:marTop w:val="0"/>
      <w:marBottom w:val="0"/>
      <w:divBdr>
        <w:top w:val="none" w:sz="0" w:space="0" w:color="auto"/>
        <w:left w:val="none" w:sz="0" w:space="0" w:color="auto"/>
        <w:bottom w:val="none" w:sz="0" w:space="0" w:color="auto"/>
        <w:right w:val="none" w:sz="0" w:space="0" w:color="auto"/>
      </w:divBdr>
    </w:div>
    <w:div w:id="850996159">
      <w:bodyDiv w:val="1"/>
      <w:marLeft w:val="0"/>
      <w:marRight w:val="0"/>
      <w:marTop w:val="0"/>
      <w:marBottom w:val="0"/>
      <w:divBdr>
        <w:top w:val="none" w:sz="0" w:space="0" w:color="auto"/>
        <w:left w:val="none" w:sz="0" w:space="0" w:color="auto"/>
        <w:bottom w:val="none" w:sz="0" w:space="0" w:color="auto"/>
        <w:right w:val="none" w:sz="0" w:space="0" w:color="auto"/>
      </w:divBdr>
    </w:div>
    <w:div w:id="1190679441">
      <w:bodyDiv w:val="1"/>
      <w:marLeft w:val="0"/>
      <w:marRight w:val="0"/>
      <w:marTop w:val="0"/>
      <w:marBottom w:val="0"/>
      <w:divBdr>
        <w:top w:val="none" w:sz="0" w:space="0" w:color="auto"/>
        <w:left w:val="none" w:sz="0" w:space="0" w:color="auto"/>
        <w:bottom w:val="none" w:sz="0" w:space="0" w:color="auto"/>
        <w:right w:val="none" w:sz="0" w:space="0" w:color="auto"/>
      </w:divBdr>
    </w:div>
    <w:div w:id="192322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48550/arXiv.2308.04161" TargetMode="External"/><Relationship Id="rId5" Type="http://schemas.openxmlformats.org/officeDocument/2006/relationships/hyperlink" Target="https://doi.org/10.1145/3406522.34460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2025-05-25T11:22:00Z</dcterms:created>
  <dcterms:modified xsi:type="dcterms:W3CDTF">2025-05-25T11:30:00Z</dcterms:modified>
</cp:coreProperties>
</file>