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15A32" w14:textId="4800C95C" w:rsidR="003A27AC" w:rsidRPr="003A27AC" w:rsidRDefault="003A27AC" w:rsidP="003A27AC">
      <w:pPr>
        <w:rPr>
          <w:b/>
          <w:bCs/>
        </w:rPr>
      </w:pPr>
      <w:r>
        <w:rPr>
          <w:b/>
          <w:bCs/>
        </w:rPr>
        <w:t xml:space="preserve">Initial post - </w:t>
      </w:r>
      <w:r w:rsidRPr="003A27AC">
        <w:rPr>
          <w:b/>
          <w:bCs/>
        </w:rPr>
        <w:t>Ethical Analysis: Statistical Manipulation and Professional Responsibility</w:t>
      </w:r>
    </w:p>
    <w:p w14:paraId="3C7007CD" w14:textId="77777777" w:rsidR="003A27AC" w:rsidRPr="003A27AC" w:rsidRDefault="003A27AC" w:rsidP="003A27AC">
      <w:pPr>
        <w:jc w:val="both"/>
      </w:pPr>
      <w:r w:rsidRPr="003A27AC">
        <w:t>Abi's situation exemplifies the fundamental tension between statistical validity and commercial pressure in applied research. While data fabrication constitutes clear scientific misconduct, the selective presentation of legitimate analyses raises complex questions about professional integrity and public welfare responsibility that extend beyond technical competence.</w:t>
      </w:r>
    </w:p>
    <w:p w14:paraId="30E812BF" w14:textId="77777777" w:rsidR="003A27AC" w:rsidRPr="003A27AC" w:rsidRDefault="003A27AC" w:rsidP="003A27AC">
      <w:pPr>
        <w:jc w:val="both"/>
      </w:pPr>
      <w:r w:rsidRPr="003A27AC">
        <w:t>The assertion that "statistics can support either side of any issue" reflects what Huff (1954) termed statistical deception, yet legitimate analyses examining different aspects of the same dataset are methodologically acceptable provided they are transparently reported and appropriately contextualised. However, Abi is unequivocally obligated to present both positive and negative findings. The American Statistical Association's Ethical Guidelines emphasise that statisticians must "present findings honestly and objectively" regardless of client expectations (ASA, 2018). Selective reporting constitutes publication bias that undermines evidence-based decision-making and violates the principle of scientific integrity that requires comprehensive reporting of results, even those contradicting client expectations (Ioannidis, 2005).</w:t>
      </w:r>
    </w:p>
    <w:p w14:paraId="522409F8" w14:textId="77777777" w:rsidR="003A27AC" w:rsidRPr="003A27AC" w:rsidRDefault="003A27AC" w:rsidP="003A27AC">
      <w:pPr>
        <w:jc w:val="both"/>
      </w:pPr>
      <w:r w:rsidRPr="003A27AC">
        <w:t xml:space="preserve">Abi bears limited but significant responsibility for how his results </w:t>
      </w:r>
      <w:proofErr w:type="gramStart"/>
      <w:r w:rsidRPr="003A27AC">
        <w:t>are</w:t>
      </w:r>
      <w:proofErr w:type="gramEnd"/>
      <w:r w:rsidRPr="003A27AC">
        <w:t xml:space="preserve"> utilised. While he cannot control client behaviour, he has a duty of care to ensure his analyses are not misleading and that limitations are clearly communicated. He should document all analytical approaches with clear rationales, provide comprehensive reports including uncertainties, and consider regulatory notification if genuine health risks are identified. Under whistleblower protection legislation such as the UK's Public Interest Disclosure Act 1998, Abi has legal recourse if pressured to suppress findings of public concern.</w:t>
      </w:r>
    </w:p>
    <w:p w14:paraId="4B9F4E1A" w14:textId="77777777" w:rsidR="003A27AC" w:rsidRPr="003A27AC" w:rsidRDefault="003A27AC" w:rsidP="003A27AC">
      <w:pPr>
        <w:jc w:val="both"/>
      </w:pPr>
      <w:r w:rsidRPr="003A27AC">
        <w:t>The implications extend across multiple domains. Legally, suppressing negative health findings could constitute negligent misrepresentation under consumer protection legislation. Socially, public health consequences of misleading nutritional information can severely impact vulnerable populations, particularly violating the precautionary principle established in European regulatory frameworks (European Commission, 2000). Professionally, compromising analytical integrity risks sanctions and damages public trust in statistical practice, undermining the social contract between professionals and society (RSS, 2019).</w:t>
      </w:r>
    </w:p>
    <w:p w14:paraId="39842193" w14:textId="77777777" w:rsidR="003A27AC" w:rsidRPr="003A27AC" w:rsidRDefault="003A27AC" w:rsidP="003A27AC">
      <w:pPr>
        <w:jc w:val="both"/>
      </w:pPr>
      <w:r w:rsidRPr="003A27AC">
        <w:t>Professional responsibility ultimately extends beyond immediate client relationships to encompass public welfare and scientific integrity, requiring comprehensive reporting regardless of commercial pressures or anticipated client responses.</w:t>
      </w:r>
    </w:p>
    <w:p w14:paraId="1D08CDFC" w14:textId="14E4E676" w:rsidR="003A27AC" w:rsidRPr="003A27AC" w:rsidRDefault="003A27AC" w:rsidP="003A27AC">
      <w:pPr>
        <w:jc w:val="both"/>
        <w:rPr>
          <w:b/>
          <w:bCs/>
        </w:rPr>
      </w:pPr>
    </w:p>
    <w:p w14:paraId="75D2FE42" w14:textId="77777777" w:rsidR="003A27AC" w:rsidRPr="003A27AC" w:rsidRDefault="003A27AC" w:rsidP="003A27AC">
      <w:pPr>
        <w:jc w:val="both"/>
      </w:pPr>
      <w:r w:rsidRPr="003A27AC">
        <w:rPr>
          <w:b/>
          <w:bCs/>
        </w:rPr>
        <w:t>References</w:t>
      </w:r>
      <w:r w:rsidRPr="003A27AC">
        <w:t>:</w:t>
      </w:r>
    </w:p>
    <w:p w14:paraId="3A710F48" w14:textId="77777777" w:rsidR="003A27AC" w:rsidRPr="003A27AC" w:rsidRDefault="003A27AC" w:rsidP="003A27AC">
      <w:pPr>
        <w:jc w:val="both"/>
      </w:pPr>
      <w:r w:rsidRPr="003A27AC">
        <w:t>American Statistical Association. (2018). </w:t>
      </w:r>
      <w:r w:rsidRPr="003A27AC">
        <w:rPr>
          <w:i/>
          <w:iCs/>
        </w:rPr>
        <w:t>Ethical Guidelines for Statistical Practice</w:t>
      </w:r>
      <w:r w:rsidRPr="003A27AC">
        <w:t>. ASA.</w:t>
      </w:r>
    </w:p>
    <w:p w14:paraId="1E6406D0" w14:textId="77777777" w:rsidR="003A27AC" w:rsidRPr="003A27AC" w:rsidRDefault="003A27AC" w:rsidP="003A27AC">
      <w:pPr>
        <w:jc w:val="both"/>
      </w:pPr>
      <w:r w:rsidRPr="003A27AC">
        <w:t>European Commission. (2000). </w:t>
      </w:r>
      <w:r w:rsidRPr="003A27AC">
        <w:rPr>
          <w:i/>
          <w:iCs/>
        </w:rPr>
        <w:t>Communication on the Precautionary Principle</w:t>
      </w:r>
      <w:r w:rsidRPr="003A27AC">
        <w:t xml:space="preserve">. </w:t>
      </w:r>
      <w:proofErr w:type="gramStart"/>
      <w:r w:rsidRPr="003A27AC">
        <w:t>COM(</w:t>
      </w:r>
      <w:proofErr w:type="gramEnd"/>
      <w:r w:rsidRPr="003A27AC">
        <w:t>2000) 1 final.</w:t>
      </w:r>
    </w:p>
    <w:p w14:paraId="7E66223D" w14:textId="77777777" w:rsidR="003A27AC" w:rsidRPr="003A27AC" w:rsidRDefault="003A27AC" w:rsidP="003A27AC">
      <w:pPr>
        <w:jc w:val="both"/>
      </w:pPr>
      <w:r w:rsidRPr="003A27AC">
        <w:t>Huff, D. (1954). </w:t>
      </w:r>
      <w:r w:rsidRPr="003A27AC">
        <w:rPr>
          <w:i/>
          <w:iCs/>
        </w:rPr>
        <w:t>How to Lie with Statistics</w:t>
      </w:r>
      <w:r w:rsidRPr="003A27AC">
        <w:t>. W. W. Norton &amp; Company.</w:t>
      </w:r>
    </w:p>
    <w:p w14:paraId="2F3C85B5" w14:textId="77777777" w:rsidR="003A27AC" w:rsidRPr="003A27AC" w:rsidRDefault="003A27AC" w:rsidP="003A27AC">
      <w:pPr>
        <w:jc w:val="both"/>
      </w:pPr>
      <w:r w:rsidRPr="003A27AC">
        <w:t>Ioannidis, J.P. (2005). Why most published research findings are false. </w:t>
      </w:r>
      <w:proofErr w:type="spellStart"/>
      <w:r w:rsidRPr="003A27AC">
        <w:rPr>
          <w:i/>
          <w:iCs/>
        </w:rPr>
        <w:t>PLoS</w:t>
      </w:r>
      <w:proofErr w:type="spellEnd"/>
      <w:r w:rsidRPr="003A27AC">
        <w:rPr>
          <w:i/>
          <w:iCs/>
        </w:rPr>
        <w:t xml:space="preserve"> Medicine</w:t>
      </w:r>
      <w:r w:rsidRPr="003A27AC">
        <w:t>, 2(8), e124.</w:t>
      </w:r>
    </w:p>
    <w:p w14:paraId="3FE23ADC" w14:textId="77777777" w:rsidR="003A27AC" w:rsidRPr="003A27AC" w:rsidRDefault="003A27AC" w:rsidP="003A27AC">
      <w:pPr>
        <w:jc w:val="both"/>
      </w:pPr>
      <w:r w:rsidRPr="003A27AC">
        <w:t>Public Interest Disclosure Act 1998. c.23. London: HMSO.</w:t>
      </w:r>
    </w:p>
    <w:p w14:paraId="64F8D60C" w14:textId="77777777" w:rsidR="003A27AC" w:rsidRPr="003A27AC" w:rsidRDefault="003A27AC" w:rsidP="003A27AC">
      <w:pPr>
        <w:jc w:val="both"/>
      </w:pPr>
      <w:r w:rsidRPr="003A27AC">
        <w:t>Royal Statistical Society. (2019). </w:t>
      </w:r>
      <w:r w:rsidRPr="003A27AC">
        <w:rPr>
          <w:i/>
          <w:iCs/>
        </w:rPr>
        <w:t>Code of Conduct</w:t>
      </w:r>
      <w:r w:rsidRPr="003A27AC">
        <w:t>. RSS Professional Standards Committee.</w:t>
      </w:r>
    </w:p>
    <w:p w14:paraId="3938792E" w14:textId="77777777" w:rsidR="003A27AC" w:rsidRPr="003A27AC" w:rsidRDefault="003A27AC" w:rsidP="003A27AC">
      <w:pPr>
        <w:jc w:val="both"/>
      </w:pPr>
      <w:r w:rsidRPr="003A27AC">
        <w:lastRenderedPageBreak/>
        <w:t>Sale of Goods Act 1979. c.54. London: HMSO.</w:t>
      </w:r>
    </w:p>
    <w:p w14:paraId="468DA5FD" w14:textId="77777777" w:rsidR="003A27AC" w:rsidRPr="003A27AC" w:rsidRDefault="003A27AC" w:rsidP="003A27AC">
      <w:pPr>
        <w:jc w:val="both"/>
      </w:pPr>
      <w:r w:rsidRPr="003A27AC">
        <w:t>Singer, P. (2011). </w:t>
      </w:r>
      <w:r w:rsidRPr="003A27AC">
        <w:rPr>
          <w:i/>
          <w:iCs/>
        </w:rPr>
        <w:t>The Expanding Circle: Ethics, Evolution, and Moral Progress</w:t>
      </w:r>
      <w:r w:rsidRPr="003A27AC">
        <w:t>. Princeton University Press.</w:t>
      </w:r>
    </w:p>
    <w:p w14:paraId="4325B14D" w14:textId="77777777" w:rsidR="003A27AC" w:rsidRPr="003A27AC" w:rsidRDefault="003A27AC" w:rsidP="003A27AC">
      <w:pPr>
        <w:jc w:val="both"/>
      </w:pPr>
      <w:r w:rsidRPr="003A27AC">
        <w:t>Wasserstein, R.L., &amp; Lazar, N.A. (2016). The ASA statement on p-values: Context, process, and purpose. </w:t>
      </w:r>
      <w:r w:rsidRPr="003A27AC">
        <w:rPr>
          <w:i/>
          <w:iCs/>
        </w:rPr>
        <w:t>The American Statistician</w:t>
      </w:r>
      <w:r w:rsidRPr="003A27AC">
        <w:t>, 70(2), 129-133.</w:t>
      </w:r>
    </w:p>
    <w:p w14:paraId="1F2F304E" w14:textId="77777777" w:rsidR="008356EB" w:rsidRPr="003A27AC" w:rsidRDefault="008356EB" w:rsidP="003A27AC">
      <w:pPr>
        <w:jc w:val="both"/>
      </w:pPr>
    </w:p>
    <w:sectPr w:rsidR="008356EB" w:rsidRPr="003A2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AC"/>
    <w:rsid w:val="00014E7B"/>
    <w:rsid w:val="003A27AC"/>
    <w:rsid w:val="004B205C"/>
    <w:rsid w:val="007D230F"/>
    <w:rsid w:val="007F0C5B"/>
    <w:rsid w:val="008356EB"/>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BB80"/>
  <w15:chartTrackingRefBased/>
  <w15:docId w15:val="{8287401D-A429-4CD5-AA5E-60ADC380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7AC"/>
    <w:rPr>
      <w:rFonts w:eastAsiaTheme="majorEastAsia" w:cstheme="majorBidi"/>
      <w:color w:val="272727" w:themeColor="text1" w:themeTint="D8"/>
    </w:rPr>
  </w:style>
  <w:style w:type="paragraph" w:styleId="Title">
    <w:name w:val="Title"/>
    <w:basedOn w:val="Normal"/>
    <w:next w:val="Normal"/>
    <w:link w:val="TitleChar"/>
    <w:uiPriority w:val="10"/>
    <w:qFormat/>
    <w:rsid w:val="003A2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7AC"/>
    <w:pPr>
      <w:spacing w:before="160"/>
      <w:jc w:val="center"/>
    </w:pPr>
    <w:rPr>
      <w:i/>
      <w:iCs/>
      <w:color w:val="404040" w:themeColor="text1" w:themeTint="BF"/>
    </w:rPr>
  </w:style>
  <w:style w:type="character" w:customStyle="1" w:styleId="QuoteChar">
    <w:name w:val="Quote Char"/>
    <w:basedOn w:val="DefaultParagraphFont"/>
    <w:link w:val="Quote"/>
    <w:uiPriority w:val="29"/>
    <w:rsid w:val="003A27AC"/>
    <w:rPr>
      <w:i/>
      <w:iCs/>
      <w:color w:val="404040" w:themeColor="text1" w:themeTint="BF"/>
    </w:rPr>
  </w:style>
  <w:style w:type="paragraph" w:styleId="ListParagraph">
    <w:name w:val="List Paragraph"/>
    <w:basedOn w:val="Normal"/>
    <w:uiPriority w:val="34"/>
    <w:qFormat/>
    <w:rsid w:val="003A27AC"/>
    <w:pPr>
      <w:ind w:left="720"/>
      <w:contextualSpacing/>
    </w:pPr>
  </w:style>
  <w:style w:type="character" w:styleId="IntenseEmphasis">
    <w:name w:val="Intense Emphasis"/>
    <w:basedOn w:val="DefaultParagraphFont"/>
    <w:uiPriority w:val="21"/>
    <w:qFormat/>
    <w:rsid w:val="003A27AC"/>
    <w:rPr>
      <w:i/>
      <w:iCs/>
      <w:color w:val="0F4761" w:themeColor="accent1" w:themeShade="BF"/>
    </w:rPr>
  </w:style>
  <w:style w:type="paragraph" w:styleId="IntenseQuote">
    <w:name w:val="Intense Quote"/>
    <w:basedOn w:val="Normal"/>
    <w:next w:val="Normal"/>
    <w:link w:val="IntenseQuoteChar"/>
    <w:uiPriority w:val="30"/>
    <w:qFormat/>
    <w:rsid w:val="003A2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7AC"/>
    <w:rPr>
      <w:i/>
      <w:iCs/>
      <w:color w:val="0F4761" w:themeColor="accent1" w:themeShade="BF"/>
    </w:rPr>
  </w:style>
  <w:style w:type="character" w:styleId="IntenseReference">
    <w:name w:val="Intense Reference"/>
    <w:basedOn w:val="DefaultParagraphFont"/>
    <w:uiPriority w:val="32"/>
    <w:qFormat/>
    <w:rsid w:val="003A2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0088">
      <w:bodyDiv w:val="1"/>
      <w:marLeft w:val="0"/>
      <w:marRight w:val="0"/>
      <w:marTop w:val="0"/>
      <w:marBottom w:val="0"/>
      <w:divBdr>
        <w:top w:val="none" w:sz="0" w:space="0" w:color="auto"/>
        <w:left w:val="none" w:sz="0" w:space="0" w:color="auto"/>
        <w:bottom w:val="none" w:sz="0" w:space="0" w:color="auto"/>
        <w:right w:val="none" w:sz="0" w:space="0" w:color="auto"/>
      </w:divBdr>
    </w:div>
    <w:div w:id="956914215">
      <w:bodyDiv w:val="1"/>
      <w:marLeft w:val="0"/>
      <w:marRight w:val="0"/>
      <w:marTop w:val="0"/>
      <w:marBottom w:val="0"/>
      <w:divBdr>
        <w:top w:val="none" w:sz="0" w:space="0" w:color="auto"/>
        <w:left w:val="none" w:sz="0" w:space="0" w:color="auto"/>
        <w:bottom w:val="none" w:sz="0" w:space="0" w:color="auto"/>
        <w:right w:val="none" w:sz="0" w:space="0" w:color="auto"/>
      </w:divBdr>
    </w:div>
    <w:div w:id="1899126508">
      <w:bodyDiv w:val="1"/>
      <w:marLeft w:val="0"/>
      <w:marRight w:val="0"/>
      <w:marTop w:val="0"/>
      <w:marBottom w:val="0"/>
      <w:divBdr>
        <w:top w:val="none" w:sz="0" w:space="0" w:color="auto"/>
        <w:left w:val="none" w:sz="0" w:space="0" w:color="auto"/>
        <w:bottom w:val="none" w:sz="0" w:space="0" w:color="auto"/>
        <w:right w:val="none" w:sz="0" w:space="0" w:color="auto"/>
      </w:divBdr>
    </w:div>
    <w:div w:id="21268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2025-10-13T22:21:00Z</dcterms:created>
  <dcterms:modified xsi:type="dcterms:W3CDTF">2025-10-13T22:27:00Z</dcterms:modified>
</cp:coreProperties>
</file>