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D6B50" w14:textId="748CD29F" w:rsidR="008356EB" w:rsidRPr="005663DB" w:rsidRDefault="00E4196A">
      <w:pPr>
        <w:rPr>
          <w:b/>
          <w:bCs/>
        </w:rPr>
      </w:pPr>
      <w:r w:rsidRPr="005663DB">
        <w:rPr>
          <w:b/>
          <w:bCs/>
        </w:rPr>
        <w:t>Initial post - Codes of Ethics and Professional Conduct</w:t>
      </w:r>
    </w:p>
    <w:p w14:paraId="10189A2D" w14:textId="40A90E31" w:rsidR="00090FD2" w:rsidRPr="005663DB" w:rsidRDefault="00090FD2" w:rsidP="00090FD2">
      <w:pPr>
        <w:jc w:val="both"/>
      </w:pPr>
      <w:r w:rsidRPr="005663DB">
        <w:t xml:space="preserve">The Corazón case study </w:t>
      </w:r>
      <w:r w:rsidRPr="005663DB">
        <w:fldChar w:fldCharType="begin"/>
      </w:r>
      <w:r w:rsidR="005663DB">
        <w:instrText xml:space="preserve"> ADDIN ZOTERO_ITEM CSL_CITATION {"citationID":"sOjvwcrR","properties":{"formattedCitation":"(Association for Computing Machinery, 2025)","plainCitation":"(Association for Computing Machinery, 2025)","noteIndex":0},"citationItems":[{"id":814,"uris":["http://zotero.org/users/local/kYTWq1ZA/items/UY7A2C77"],"itemData":{"id":814,"type":"webpage","abstract":"Case study on medical implant risk analysis","language":"en","title":"Case Study: Medical Implant Risk Analysis","title-short":"Case Study","URL":"https://www.acm.org/code-of-ethics/case-studies/medical-implant-risk-analysis","author":[{"family":"Association for Computing Machinery","given":""}],"accessed":{"date-parts":[["2025",8,31]]},"issued":{"date-parts":[["2025"]]}}}],"schema":"https://github.com/citation-style-language/schema/raw/master/csl-citation.json"} </w:instrText>
      </w:r>
      <w:r w:rsidRPr="005663DB">
        <w:fldChar w:fldCharType="separate"/>
      </w:r>
      <w:r w:rsidR="005663DB" w:rsidRPr="005663DB">
        <w:rPr>
          <w:rFonts w:ascii="Aptos" w:hAnsi="Aptos"/>
        </w:rPr>
        <w:t>(Association for Computing Machinery, 2025)</w:t>
      </w:r>
      <w:r w:rsidRPr="005663DB">
        <w:fldChar w:fldCharType="end"/>
      </w:r>
      <w:r w:rsidRPr="005663DB">
        <w:t xml:space="preserve"> demonstrates both adherence to and potential violations of professional computing ethics when examined against the BCS Code of Conduct</w:t>
      </w:r>
      <w:r w:rsidR="00082667" w:rsidRPr="005663DB">
        <w:t xml:space="preserve"> </w:t>
      </w:r>
      <w:r w:rsidR="00082667" w:rsidRPr="005663DB">
        <w:fldChar w:fldCharType="begin"/>
      </w:r>
      <w:r w:rsidR="005663DB" w:rsidRPr="005663DB">
        <w:instrText xml:space="preserve"> ADDIN ZOTERO_ITEM CSL_CITATION {"citationID":"suw94q0h","properties":{"formattedCitation":"(British Computing Society, 2022)","plainCitation":"(British Computing Society, 2022)","noteIndex":0},"citationItems":[{"id":820,"uris":["http://zotero.org/users/local/kYTWq1ZA/items/9P63TSM5"],"itemData":{"id":820,"type":"webpage","title":"BCS Code of Conduct for members - Ethics for IT professionals","URL":"https://www.bcs.org/membership-and-registrations/become-a-member/bcs-code-of-conduct","author":[{"family":"British Computing Society","given":""}],"accessed":{"date-parts":[["2025",8,31]]},"issued":{"date-parts":[["2022",6,8]]}}}],"schema":"https://github.com/citation-style-language/schema/raw/master/csl-citation.json"} </w:instrText>
      </w:r>
      <w:r w:rsidR="00082667" w:rsidRPr="005663DB">
        <w:fldChar w:fldCharType="separate"/>
      </w:r>
      <w:r w:rsidR="005663DB" w:rsidRPr="005663DB">
        <w:rPr>
          <w:rFonts w:ascii="Aptos" w:hAnsi="Aptos"/>
        </w:rPr>
        <w:t>(British Computing Society, 2022)</w:t>
      </w:r>
      <w:r w:rsidR="00082667" w:rsidRPr="005663DB">
        <w:fldChar w:fldCharType="end"/>
      </w:r>
      <w:r w:rsidRPr="005663DB">
        <w:t>. While the company's charitable initiatives align with BCS Section 1.1 regarding public interest and promoting equal access to IT benefits, critical concerns emerge regarding professional competence and duty to relevant authorities.</w:t>
      </w:r>
    </w:p>
    <w:p w14:paraId="06F1483C" w14:textId="5E16409B" w:rsidR="00090FD2" w:rsidRPr="005663DB" w:rsidRDefault="00090FD2" w:rsidP="00090FD2">
      <w:pPr>
        <w:jc w:val="both"/>
      </w:pPr>
      <w:r w:rsidRPr="005663DB">
        <w:t>The hard-coded initialization value represents a fundamental security flaw that potentially violates BCS Section 2.1, which mandates undertaking only work within professional competence. Medical device security requires specialized expertise, and this vulnerability suggests inadequate security architecture. The researcher's ability to demonstrate device manipulation contradicts BCS Section 1.1's requirement for "due regard for public health, privacy, security and wellbeing."</w:t>
      </w:r>
    </w:p>
    <w:p w14:paraId="7659D54D" w14:textId="39445DF1" w:rsidR="00090FD2" w:rsidRPr="005663DB" w:rsidRDefault="00090FD2" w:rsidP="00090FD2">
      <w:pPr>
        <w:jc w:val="both"/>
      </w:pPr>
      <w:r w:rsidRPr="005663DB">
        <w:t xml:space="preserve">Legally, medical device regulations across jurisdictions require robust cybersecurity frameworks. The FDA's 2025 cybersecurity guidance mandates secure design principles, while the EU's Medical Device Regulation (MDR 2017/745) emphasizes risk management throughout device lifecycles </w:t>
      </w:r>
      <w:r w:rsidRPr="005663DB">
        <w:fldChar w:fldCharType="begin"/>
      </w:r>
      <w:r w:rsidR="00082667" w:rsidRPr="005663DB">
        <w:instrText xml:space="preserve"> ADDIN ZOTERO_ITEM CSL_CITATION {"citationID":"zrDatzPg","properties":{"formattedCitation":"(European Union, 2017; US Food and Drug Administration, 2025)","plainCitation":"(European Union, 2017; US Food and Drug Administration, 2025)","noteIndex":0},"citationItems":[{"id":816,"uris":["http://zotero.org/users/local/kYTWq1ZA/items/KG7NUUJW"],"itemData":{"id":816,"type":"webpage","abstract":"This document provides FDA’s recommendations to industry regarding cybersecurity device design, labeling, and the documentation that FDA recommends be included in premarket submissions for devices with cybersecurity risk. These recommendations are intended to promote consistency, facilitate efficien","language":"en","note":"publisher: FDA","title":"Cybersecurity in Medical Devices: Quality System Considerations and Content of Premarket Submissions","title-short":"Cybersecurity in Medical Devices","URL":"https://www.fda.gov/regulatory-information/search-fda-guidance-documents/cybersecurity-medical-devices-quality-system-considerations-and-content-premarket-submissions","author":[{"family":"US Food and Drug Administration","given":""}],"accessed":{"date-parts":[["2025",8,31]]},"issued":{"date-parts":[["2025",6,26]]}}},{"id":818,"uris":["http://zotero.org/users/local/kYTWq1ZA/items/NH7EELKZ"],"itemData":{"id":818,"type":"webpage","language":"en","note":"Doc ID: 32017R0745\nDoc Sector: 3\nDoc Title: Regulation (EU) 2017/745 of the European Parliament and of the Council of 5 April 2017 on medical devices, amending Directive 2001/83/EC, Regulation (EC) No 178/2002 and Regulation (EC) No 1223/2009 and repealing Council Directives 90/385/EEC and 93/42/EEC (Text with EEA relevance. )\nDoc Type: R\nUsr_lan: en","title":"Regulation - 2017/745 - EN - Medical Device Regulation - EUR-Lex","URL":"https://eur-lex.europa.eu/eli/reg/2017/745/oj/eng","author":[{"family":"European Union","given":""}],"accessed":{"date-parts":[["2025",8,31]]},"issued":{"date-parts":[["2017"]]}}}],"schema":"https://github.com/citation-style-language/schema/raw/master/csl-citation.json"} </w:instrText>
      </w:r>
      <w:r w:rsidRPr="005663DB">
        <w:fldChar w:fldCharType="separate"/>
      </w:r>
      <w:r w:rsidR="00082667" w:rsidRPr="005663DB">
        <w:rPr>
          <w:rFonts w:ascii="Aptos" w:hAnsi="Aptos"/>
        </w:rPr>
        <w:t>(European Union, 2017; US Food and Drug Administration, 2025)</w:t>
      </w:r>
      <w:r w:rsidRPr="005663DB">
        <w:fldChar w:fldCharType="end"/>
      </w:r>
      <w:r w:rsidRPr="005663DB">
        <w:t>. The vulnerability could constitute regulatory non-compliance, exposing Corazón to significant liability.</w:t>
      </w:r>
    </w:p>
    <w:p w14:paraId="1996E205" w14:textId="6F58CF73" w:rsidR="00E4196A" w:rsidRPr="005663DB" w:rsidRDefault="00090FD2" w:rsidP="00090FD2">
      <w:pPr>
        <w:jc w:val="both"/>
      </w:pPr>
      <w:r w:rsidRPr="005663DB">
        <w:t>The company's responsive collaboration with researchers demonstrates adherence to BCS Section 2.5 regarding honest criticism acceptance. However, the dismissal of risk as "negligible" without comprehensive impact assessment potentially violates professional responsibility standards. Computing professionals must prioritize patient safety over commercial considerations, ensuring thorough vulnerability remediation rather than risk minimization.</w:t>
      </w:r>
    </w:p>
    <w:p w14:paraId="771DECE2" w14:textId="77777777" w:rsidR="005663DB" w:rsidRDefault="00082667" w:rsidP="005663DB">
      <w:pPr>
        <w:pStyle w:val="Bibliography"/>
        <w:rPr>
          <w:b/>
          <w:bCs/>
        </w:rPr>
      </w:pPr>
      <w:r w:rsidRPr="005663DB">
        <w:rPr>
          <w:b/>
          <w:bCs/>
        </w:rPr>
        <w:t>References:</w:t>
      </w:r>
    </w:p>
    <w:p w14:paraId="01009DA9" w14:textId="76B7FFDA" w:rsidR="005663DB" w:rsidRPr="005663DB" w:rsidRDefault="00082667" w:rsidP="005663DB">
      <w:pPr>
        <w:pStyle w:val="Bibliography"/>
        <w:rPr>
          <w:rFonts w:ascii="Aptos" w:hAnsi="Aptos"/>
        </w:rPr>
      </w:pPr>
      <w:r w:rsidRPr="005663DB">
        <w:fldChar w:fldCharType="begin"/>
      </w:r>
      <w:r w:rsidR="005663DB">
        <w:instrText xml:space="preserve"> ADDIN ZOTERO_BIBL {"uncited":[],"omitted":[],"custom":[]} CSL_BIBLIOGRAPHY </w:instrText>
      </w:r>
      <w:r w:rsidRPr="005663DB">
        <w:fldChar w:fldCharType="separate"/>
      </w:r>
      <w:r w:rsidR="005663DB" w:rsidRPr="005663DB">
        <w:rPr>
          <w:rFonts w:ascii="Aptos" w:hAnsi="Aptos"/>
        </w:rPr>
        <w:t xml:space="preserve">Association for Computing Machinery (2025) </w:t>
      </w:r>
      <w:r w:rsidR="005663DB" w:rsidRPr="005663DB">
        <w:rPr>
          <w:rFonts w:ascii="Aptos" w:hAnsi="Aptos"/>
          <w:i/>
          <w:iCs/>
        </w:rPr>
        <w:t>Case Study: Medical Implant Risk Analysis</w:t>
      </w:r>
      <w:r w:rsidR="005663DB" w:rsidRPr="005663DB">
        <w:rPr>
          <w:rFonts w:ascii="Aptos" w:hAnsi="Aptos"/>
        </w:rPr>
        <w:t>. Available at: https://www.acm.org/code-of-ethics/case-studies/medical-implant-risk-analysis (Access</w:t>
      </w:r>
      <w:r w:rsidR="005663DB">
        <w:rPr>
          <w:rFonts w:ascii="Aptos" w:hAnsi="Aptos"/>
        </w:rPr>
        <w:t>ed</w:t>
      </w:r>
      <w:r w:rsidR="005663DB" w:rsidRPr="005663DB">
        <w:rPr>
          <w:rFonts w:ascii="Aptos" w:hAnsi="Aptos"/>
        </w:rPr>
        <w:t xml:space="preserve">: 31 </w:t>
      </w:r>
      <w:r w:rsidR="005663DB">
        <w:rPr>
          <w:rFonts w:ascii="Aptos" w:hAnsi="Aptos"/>
        </w:rPr>
        <w:t xml:space="preserve">of August </w:t>
      </w:r>
      <w:r w:rsidR="005663DB" w:rsidRPr="005663DB">
        <w:rPr>
          <w:rFonts w:ascii="Aptos" w:hAnsi="Aptos"/>
        </w:rPr>
        <w:t>2025).</w:t>
      </w:r>
    </w:p>
    <w:p w14:paraId="0FAD0529" w14:textId="2C648998" w:rsidR="005663DB" w:rsidRPr="005663DB" w:rsidRDefault="005663DB" w:rsidP="005663DB">
      <w:pPr>
        <w:pStyle w:val="Bibliography"/>
        <w:rPr>
          <w:rFonts w:ascii="Aptos" w:hAnsi="Aptos"/>
        </w:rPr>
      </w:pPr>
      <w:r w:rsidRPr="005663DB">
        <w:rPr>
          <w:rFonts w:ascii="Aptos" w:hAnsi="Aptos"/>
        </w:rPr>
        <w:t xml:space="preserve">British Computing Society (2022) </w:t>
      </w:r>
      <w:r w:rsidRPr="005663DB">
        <w:rPr>
          <w:rFonts w:ascii="Aptos" w:hAnsi="Aptos"/>
          <w:i/>
          <w:iCs/>
        </w:rPr>
        <w:t>BCS Code of Conduct for members - Ethics for IT professionals</w:t>
      </w:r>
      <w:r w:rsidRPr="005663DB">
        <w:rPr>
          <w:rFonts w:ascii="Aptos" w:hAnsi="Aptos"/>
        </w:rPr>
        <w:t>. Available at: https://www.bcs.org/membership-and-registrations/become-a-member/bcs-code-of-conduct (Ac</w:t>
      </w:r>
      <w:r>
        <w:rPr>
          <w:rFonts w:ascii="Aptos" w:hAnsi="Aptos"/>
        </w:rPr>
        <w:t>cessed</w:t>
      </w:r>
      <w:r w:rsidRPr="005663DB">
        <w:rPr>
          <w:rFonts w:ascii="Aptos" w:hAnsi="Aptos"/>
        </w:rPr>
        <w:t xml:space="preserve">: 31 </w:t>
      </w:r>
      <w:r>
        <w:rPr>
          <w:rFonts w:ascii="Aptos" w:hAnsi="Aptos"/>
        </w:rPr>
        <w:t xml:space="preserve">of August </w:t>
      </w:r>
      <w:r w:rsidRPr="005663DB">
        <w:rPr>
          <w:rFonts w:ascii="Aptos" w:hAnsi="Aptos"/>
        </w:rPr>
        <w:t>2025).</w:t>
      </w:r>
    </w:p>
    <w:p w14:paraId="7BABA22D" w14:textId="2A04D9F0" w:rsidR="005663DB" w:rsidRPr="005663DB" w:rsidRDefault="005663DB" w:rsidP="005663DB">
      <w:pPr>
        <w:pStyle w:val="Bibliography"/>
        <w:rPr>
          <w:rFonts w:ascii="Aptos" w:hAnsi="Aptos"/>
        </w:rPr>
      </w:pPr>
      <w:r w:rsidRPr="005663DB">
        <w:rPr>
          <w:rFonts w:ascii="Aptos" w:hAnsi="Aptos"/>
        </w:rPr>
        <w:t xml:space="preserve">European Union (2017) </w:t>
      </w:r>
      <w:r w:rsidRPr="005663DB">
        <w:rPr>
          <w:rFonts w:ascii="Aptos" w:hAnsi="Aptos"/>
          <w:i/>
          <w:iCs/>
        </w:rPr>
        <w:t>Regulation - 2017/745 - EN - Medical Device Regulation - EUR-Lex</w:t>
      </w:r>
      <w:r w:rsidRPr="005663DB">
        <w:rPr>
          <w:rFonts w:ascii="Aptos" w:hAnsi="Aptos"/>
        </w:rPr>
        <w:t>. Available at: https://eur-lex.europa.eu/eli/reg/2017/745/oj/eng (</w:t>
      </w:r>
      <w:r w:rsidRPr="005663DB">
        <w:rPr>
          <w:rFonts w:ascii="Aptos" w:hAnsi="Aptos"/>
        </w:rPr>
        <w:t>Ac</w:t>
      </w:r>
      <w:r>
        <w:rPr>
          <w:rFonts w:ascii="Aptos" w:hAnsi="Aptos"/>
        </w:rPr>
        <w:t>cessed</w:t>
      </w:r>
      <w:r w:rsidRPr="005663DB">
        <w:rPr>
          <w:rFonts w:ascii="Aptos" w:hAnsi="Aptos"/>
        </w:rPr>
        <w:t xml:space="preserve">: 31 </w:t>
      </w:r>
      <w:r>
        <w:rPr>
          <w:rFonts w:ascii="Aptos" w:hAnsi="Aptos"/>
        </w:rPr>
        <w:t xml:space="preserve">of August </w:t>
      </w:r>
      <w:r w:rsidRPr="005663DB">
        <w:rPr>
          <w:rFonts w:ascii="Aptos" w:hAnsi="Aptos"/>
        </w:rPr>
        <w:t>2025</w:t>
      </w:r>
      <w:r w:rsidRPr="005663DB">
        <w:rPr>
          <w:rFonts w:ascii="Aptos" w:hAnsi="Aptos"/>
        </w:rPr>
        <w:t>).</w:t>
      </w:r>
    </w:p>
    <w:p w14:paraId="02798B1B" w14:textId="36D45D0F" w:rsidR="005663DB" w:rsidRPr="005663DB" w:rsidRDefault="005663DB" w:rsidP="005663DB">
      <w:pPr>
        <w:pStyle w:val="Bibliography"/>
        <w:rPr>
          <w:rFonts w:ascii="Aptos" w:hAnsi="Aptos"/>
        </w:rPr>
      </w:pPr>
      <w:r w:rsidRPr="005663DB">
        <w:rPr>
          <w:rFonts w:ascii="Aptos" w:hAnsi="Aptos"/>
        </w:rPr>
        <w:t xml:space="preserve">US Food and Drug Administration (2025) </w:t>
      </w:r>
      <w:r w:rsidRPr="005663DB">
        <w:rPr>
          <w:rFonts w:ascii="Aptos" w:hAnsi="Aptos"/>
          <w:i/>
          <w:iCs/>
        </w:rPr>
        <w:t>Cybersecurity in Medical Devices: Quality System Considerations and Content of Premarket Submissions</w:t>
      </w:r>
      <w:r w:rsidRPr="005663DB">
        <w:rPr>
          <w:rFonts w:ascii="Aptos" w:hAnsi="Aptos"/>
        </w:rPr>
        <w:t xml:space="preserve">. FDA. </w:t>
      </w:r>
      <w:r>
        <w:rPr>
          <w:rFonts w:ascii="Aptos" w:hAnsi="Aptos"/>
        </w:rPr>
        <w:t>Available at</w:t>
      </w:r>
      <w:r w:rsidRPr="005663DB">
        <w:rPr>
          <w:rFonts w:ascii="Aptos" w:hAnsi="Aptos"/>
        </w:rPr>
        <w:t>: https://www.fda.gov/regulatory-information/search-fda-guidance-documents/cybersecurity-medical-devices-quality-system-considerations-and-content-premarket-submissions (</w:t>
      </w:r>
      <w:r w:rsidRPr="005663DB">
        <w:rPr>
          <w:rFonts w:ascii="Aptos" w:hAnsi="Aptos"/>
        </w:rPr>
        <w:t>Ac</w:t>
      </w:r>
      <w:r>
        <w:rPr>
          <w:rFonts w:ascii="Aptos" w:hAnsi="Aptos"/>
        </w:rPr>
        <w:t>cessed</w:t>
      </w:r>
      <w:r w:rsidRPr="005663DB">
        <w:rPr>
          <w:rFonts w:ascii="Aptos" w:hAnsi="Aptos"/>
        </w:rPr>
        <w:t xml:space="preserve">: 31 </w:t>
      </w:r>
      <w:r>
        <w:rPr>
          <w:rFonts w:ascii="Aptos" w:hAnsi="Aptos"/>
        </w:rPr>
        <w:t xml:space="preserve">of August </w:t>
      </w:r>
      <w:r w:rsidRPr="005663DB">
        <w:rPr>
          <w:rFonts w:ascii="Aptos" w:hAnsi="Aptos"/>
        </w:rPr>
        <w:t>2025</w:t>
      </w:r>
      <w:r w:rsidRPr="005663DB">
        <w:rPr>
          <w:rFonts w:ascii="Aptos" w:hAnsi="Aptos"/>
        </w:rPr>
        <w:t>).</w:t>
      </w:r>
    </w:p>
    <w:p w14:paraId="1E53FAD1" w14:textId="4CC29D25" w:rsidR="00082667" w:rsidRPr="00E4196A" w:rsidRDefault="00082667" w:rsidP="00090FD2">
      <w:pPr>
        <w:jc w:val="both"/>
      </w:pPr>
      <w:r w:rsidRPr="005663DB">
        <w:fldChar w:fldCharType="end"/>
      </w:r>
    </w:p>
    <w:sectPr w:rsidR="00082667" w:rsidRPr="00E41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6A"/>
    <w:rsid w:val="00056CE1"/>
    <w:rsid w:val="00082667"/>
    <w:rsid w:val="00090FD2"/>
    <w:rsid w:val="004B205C"/>
    <w:rsid w:val="005663DB"/>
    <w:rsid w:val="007F0C5B"/>
    <w:rsid w:val="008356EB"/>
    <w:rsid w:val="00883FCD"/>
    <w:rsid w:val="008A63AD"/>
    <w:rsid w:val="00951D80"/>
    <w:rsid w:val="00E4196A"/>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9A0F"/>
  <w15:chartTrackingRefBased/>
  <w15:docId w15:val="{721507C3-66E1-4118-84F3-DA45963E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9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1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96A"/>
    <w:rPr>
      <w:rFonts w:eastAsiaTheme="majorEastAsia" w:cstheme="majorBidi"/>
      <w:color w:val="272727" w:themeColor="text1" w:themeTint="D8"/>
    </w:rPr>
  </w:style>
  <w:style w:type="paragraph" w:styleId="Title">
    <w:name w:val="Title"/>
    <w:basedOn w:val="Normal"/>
    <w:next w:val="Normal"/>
    <w:link w:val="TitleChar"/>
    <w:uiPriority w:val="10"/>
    <w:qFormat/>
    <w:rsid w:val="00E41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96A"/>
    <w:pPr>
      <w:spacing w:before="160"/>
      <w:jc w:val="center"/>
    </w:pPr>
    <w:rPr>
      <w:i/>
      <w:iCs/>
      <w:color w:val="404040" w:themeColor="text1" w:themeTint="BF"/>
    </w:rPr>
  </w:style>
  <w:style w:type="character" w:customStyle="1" w:styleId="QuoteChar">
    <w:name w:val="Quote Char"/>
    <w:basedOn w:val="DefaultParagraphFont"/>
    <w:link w:val="Quote"/>
    <w:uiPriority w:val="29"/>
    <w:rsid w:val="00E4196A"/>
    <w:rPr>
      <w:i/>
      <w:iCs/>
      <w:color w:val="404040" w:themeColor="text1" w:themeTint="BF"/>
    </w:rPr>
  </w:style>
  <w:style w:type="paragraph" w:styleId="ListParagraph">
    <w:name w:val="List Paragraph"/>
    <w:basedOn w:val="Normal"/>
    <w:uiPriority w:val="34"/>
    <w:qFormat/>
    <w:rsid w:val="00E4196A"/>
    <w:pPr>
      <w:ind w:left="720"/>
      <w:contextualSpacing/>
    </w:pPr>
  </w:style>
  <w:style w:type="character" w:styleId="IntenseEmphasis">
    <w:name w:val="Intense Emphasis"/>
    <w:basedOn w:val="DefaultParagraphFont"/>
    <w:uiPriority w:val="21"/>
    <w:qFormat/>
    <w:rsid w:val="00E4196A"/>
    <w:rPr>
      <w:i/>
      <w:iCs/>
      <w:color w:val="0F4761" w:themeColor="accent1" w:themeShade="BF"/>
    </w:rPr>
  </w:style>
  <w:style w:type="paragraph" w:styleId="IntenseQuote">
    <w:name w:val="Intense Quote"/>
    <w:basedOn w:val="Normal"/>
    <w:next w:val="Normal"/>
    <w:link w:val="IntenseQuoteChar"/>
    <w:uiPriority w:val="30"/>
    <w:qFormat/>
    <w:rsid w:val="00E41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96A"/>
    <w:rPr>
      <w:i/>
      <w:iCs/>
      <w:color w:val="0F4761" w:themeColor="accent1" w:themeShade="BF"/>
    </w:rPr>
  </w:style>
  <w:style w:type="character" w:styleId="IntenseReference">
    <w:name w:val="Intense Reference"/>
    <w:basedOn w:val="DefaultParagraphFont"/>
    <w:uiPriority w:val="32"/>
    <w:qFormat/>
    <w:rsid w:val="00E4196A"/>
    <w:rPr>
      <w:b/>
      <w:bCs/>
      <w:smallCaps/>
      <w:color w:val="0F4761" w:themeColor="accent1" w:themeShade="BF"/>
      <w:spacing w:val="5"/>
    </w:rPr>
  </w:style>
  <w:style w:type="paragraph" w:styleId="Bibliography">
    <w:name w:val="Bibliography"/>
    <w:basedOn w:val="Normal"/>
    <w:next w:val="Normal"/>
    <w:uiPriority w:val="37"/>
    <w:unhideWhenUsed/>
    <w:rsid w:val="0008266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137966">
      <w:bodyDiv w:val="1"/>
      <w:marLeft w:val="0"/>
      <w:marRight w:val="0"/>
      <w:marTop w:val="0"/>
      <w:marBottom w:val="0"/>
      <w:divBdr>
        <w:top w:val="none" w:sz="0" w:space="0" w:color="auto"/>
        <w:left w:val="none" w:sz="0" w:space="0" w:color="auto"/>
        <w:bottom w:val="none" w:sz="0" w:space="0" w:color="auto"/>
        <w:right w:val="none" w:sz="0" w:space="0" w:color="auto"/>
      </w:divBdr>
    </w:div>
    <w:div w:id="127062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2025-08-31T14:24:00Z</dcterms:created>
  <dcterms:modified xsi:type="dcterms:W3CDTF">2025-08-31T14:57:00Z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id="WTWqUZ7t"/&gt;&lt;style id="http://www.zotero.org/styles/harvard-cite-them-right" locale="pt-PT" hasBibliography="1" bibliographyStyleHasBeenSet="1"/&gt;&lt;prefs&gt;&lt;pref name="fieldType" value="Field"/&gt;&lt;/prefs</vt:lpwstr>
  </property>
  <property fmtid="{D5CDD505-2E9C-101B-9397-08002B2CF9AE}" pid="3" name="ZOTERO_PREF_2">
    <vt:lpwstr>&gt;&lt;/data&gt;</vt:lpwstr>
  </property>
</Properties>
</file>