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D5BFD4" w14:textId="39D48FD0" w:rsidR="008356EB" w:rsidRPr="000F2EAE" w:rsidRDefault="000F2EAE">
      <w:pPr>
        <w:rPr>
          <w:b/>
          <w:bCs/>
        </w:rPr>
      </w:pPr>
      <w:r w:rsidRPr="000F2EAE">
        <w:rPr>
          <w:b/>
          <w:bCs/>
        </w:rPr>
        <w:t>Peer response 2 – Marie</w:t>
      </w:r>
    </w:p>
    <w:p w14:paraId="40341BB1" w14:textId="4E3063D4" w:rsidR="00343142" w:rsidRPr="00343142" w:rsidRDefault="00343142" w:rsidP="000B47B9">
      <w:pPr>
        <w:jc w:val="both"/>
      </w:pPr>
      <w:r w:rsidRPr="00343142">
        <w:t>Marie's analysis effectively demonstrates how Q Industries' progression from passive to lethal autonomous systems violates both ACM and BCS ethical principles, particularly regarding public good and human rights protection</w:t>
      </w:r>
      <w:r>
        <w:t xml:space="preserve"> </w:t>
      </w:r>
      <w:r>
        <w:fldChar w:fldCharType="begin"/>
      </w:r>
      <w:r>
        <w:instrText xml:space="preserve"> ADDIN ZOTERO_ITEM CSL_CITATION {"citationID":"1dDtZuoL","properties":{"formattedCitation":"(Association for Computing Machinery, 2018; British Computing Society, 2022)","plainCitation":"(Association for Computing Machinery, 2018; British Computing Society, 2022)","noteIndex":0},"citationItems":[{"id":826,"uris":["http://zotero.org/users/local/kYTWq1ZA/items/7ERLRWTB"],"itemData":{"id":826,"type":"document","title":"Code of Ethics","URL":"https://www.acm.org/code-of-ethics","author":[{"family":"Association for Computing Machinery","given":""}],"accessed":{"date-parts":[["2025",8,31]]},"issued":{"date-parts":[["2018"]]}}},{"id":820,"uris":["http://zotero.org/users/local/kYTWq1ZA/items/9P63TSM5"],"itemData":{"id":820,"type":"webpage","title":"BCS Code of Conduct for members - Ethics for IT professionals","URL":"https://www.bcs.org/membership-and-registrations/become-a-member/bcs-code-of-conduct","author":[{"family":"British Computing Society","given":""}],"accessed":{"date-parts":[["2025",8,31]]},"issued":{"date-parts":[["2022",6,8]]}}}],"schema":"https://github.com/citation-style-language/schema/raw/master/csl-citation.json"} </w:instrText>
      </w:r>
      <w:r>
        <w:fldChar w:fldCharType="separate"/>
      </w:r>
      <w:r w:rsidRPr="00343142">
        <w:rPr>
          <w:rFonts w:ascii="Aptos" w:hAnsi="Aptos"/>
        </w:rPr>
        <w:t>(Association for Computing Machinery, 2018; British Computing Society, 2022)</w:t>
      </w:r>
      <w:r>
        <w:fldChar w:fldCharType="end"/>
      </w:r>
      <w:r w:rsidRPr="00343142">
        <w:t>. Abdulhakim builds on this foundation by identifying the hierarchical tension between competing principles—specifically the conflict between respecting intellectual property and serving public welfare—while questioning whether clearer guidelines are needed for mandatory whistleblowing obligations. Opeyemi strengthens the technical argument by providing concrete evidence of facial recognition bias and connecting professional ethics to international humanitarian law frameworks, particularly the UN Convention on Certain Conventional Weapons</w:t>
      </w:r>
      <w:r>
        <w:t xml:space="preserve"> </w:t>
      </w:r>
      <w:r>
        <w:fldChar w:fldCharType="begin"/>
      </w:r>
      <w:r>
        <w:instrText xml:space="preserve"> ADDIN ZOTERO_ITEM CSL_CITATION {"citationID":"8Wt8QxaT","properties":{"formattedCitation":"(United Nations Office for Disarmament Affairs, 2001)","plainCitation":"(United Nations Office for Disarmament Affairs, 2001)","noteIndex":0},"citationItems":[{"id":832,"uris":["http://zotero.org/users/local/kYTWq1ZA/items/29S82GYB"],"itemData":{"id":832,"type":"post-weblog","language":"en-US","title":"The Convention on Certain Conventional Weapons","URL":"https://disarmament.unoda.org/the-convention-on-certain-conventional-weapons/","author":[{"family":"United Nations Office for Disarmament Affairs","given":""}],"accessed":{"date-parts":[["2025",8,31]]},"issued":{"date-parts":[["2001"]]}}}],"schema":"https://github.com/citation-style-language/schema/raw/master/csl-citation.json"} </w:instrText>
      </w:r>
      <w:r>
        <w:fldChar w:fldCharType="separate"/>
      </w:r>
      <w:r w:rsidRPr="00343142">
        <w:rPr>
          <w:rFonts w:ascii="Aptos" w:hAnsi="Aptos"/>
        </w:rPr>
        <w:t>(United Nations Office for Disarmament Affairs, 2001)</w:t>
      </w:r>
      <w:r>
        <w:fldChar w:fldCharType="end"/>
      </w:r>
      <w:r w:rsidRPr="00343142">
        <w:t>.</w:t>
      </w:r>
    </w:p>
    <w:p w14:paraId="2A172BC5" w14:textId="467DA282" w:rsidR="00343142" w:rsidRPr="00343142" w:rsidRDefault="00343142" w:rsidP="000B47B9">
      <w:pPr>
        <w:jc w:val="both"/>
      </w:pPr>
      <w:r w:rsidRPr="00343142">
        <w:t>The most pressing issue raised across these contributions is Abdulhakim's question about when professionals have not just the right, but the obligation to break confidentiality agreements. Both ACM Section 1.7 and BCS Section 2.4 address confidentiality exceptions for legal violations or public harm, but the threshold remains ambiguous. Historical precedents like the Pugwash Conferences demonstrate how scientific communities established collective ethical boundaries that transcended individual employer obligations</w:t>
      </w:r>
      <w:r>
        <w:t xml:space="preserve"> </w:t>
      </w:r>
      <w:r>
        <w:fldChar w:fldCharType="begin"/>
      </w:r>
      <w:r>
        <w:instrText xml:space="preserve"> ADDIN ZOTERO_ITEM CSL_CITATION {"citationID":"dtlvVsfh","properties":{"formattedCitation":"(Rotblat, 1999)","plainCitation":"(Rotblat, 1999)","noteIndex":0},"citationItems":[{"id":839,"uris":["http://zotero.org/users/local/kYTWq1ZA/items/HXXUX7B5"],"itemData":{"id":839,"type":"article-journal","container-title":"Science","DOI":"10.1126/science.286.5444.1475","issue":"5444","note":"publisher: American Association for the Advancement of Science","page":"1475-1475","source":"science.org (Atypon)","title":"A Hippocratic Oath for Scientists","volume":"286","author":[{"family":"Rotblat","given":"Joseph"}],"issued":{"date-parts":[["1999",11,19]]}}}],"schema":"https://github.com/citation-style-language/schema/raw/master/csl-citation.json"} </w:instrText>
      </w:r>
      <w:r>
        <w:fldChar w:fldCharType="separate"/>
      </w:r>
      <w:r w:rsidRPr="00343142">
        <w:rPr>
          <w:rFonts w:ascii="Aptos" w:hAnsi="Aptos"/>
        </w:rPr>
        <w:t>(Rotblat, 1999)</w:t>
      </w:r>
      <w:r>
        <w:fldChar w:fldCharType="end"/>
      </w:r>
      <w:r w:rsidR="000B47B9">
        <w:t xml:space="preserve">, with </w:t>
      </w:r>
      <w:r w:rsidRPr="00343142">
        <w:t xml:space="preserve">computing professionals </w:t>
      </w:r>
      <w:r w:rsidR="000B47B9">
        <w:t xml:space="preserve">needing </w:t>
      </w:r>
      <w:r w:rsidRPr="00343142">
        <w:t>similar mechanisms. Regarding Opeyemi's question about operationalizing international frameworks, the IEEE's autonomous systems standards (IEEE 2857-2021) provide technical implementation guidance that bridges professional codes with legal requirements</w:t>
      </w:r>
      <w:r>
        <w:t xml:space="preserve"> </w:t>
      </w:r>
      <w:r>
        <w:fldChar w:fldCharType="begin"/>
      </w:r>
      <w:r>
        <w:instrText xml:space="preserve"> ADDIN ZOTERO_ITEM CSL_CITATION {"citationID":"zEvojlDz","properties":{"formattedCitation":"({\\i{}IEEE Standard for Transparency of Autonomous Systems}, 2021)","plainCitation":"(IEEE Standard for Transparency of Autonomous Systems, 2021)","noteIndex":0},"citationItems":[{"id":828,"uris":["http://zotero.org/users/local/kYTWq1ZA/items/DU6BJJTZ"],"itemData":{"id":828,"type":"webpage","container-title":"IEEE Standards Association","language":"en","title":"IEEE Standard for Transparency of Autonomous Systems","URL":"https://standards.ieee.org/ieee/7001/6929/","accessed":{"date-parts":[["2025",8,31]]},"issued":{"date-parts":[["2021",12,8]]}}}],"schema":"https://github.com/citation-style-language/schema/raw/master/csl-citation.json"} </w:instrText>
      </w:r>
      <w:r>
        <w:fldChar w:fldCharType="separate"/>
      </w:r>
      <w:r w:rsidRPr="00343142">
        <w:rPr>
          <w:rFonts w:ascii="Aptos" w:hAnsi="Aptos" w:cs="Times New Roman"/>
          <w:kern w:val="0"/>
        </w:rPr>
        <w:t>(</w:t>
      </w:r>
      <w:r w:rsidRPr="00343142">
        <w:rPr>
          <w:rFonts w:ascii="Aptos" w:hAnsi="Aptos" w:cs="Times New Roman"/>
          <w:i/>
          <w:iCs/>
          <w:kern w:val="0"/>
        </w:rPr>
        <w:t>IEEE Standard for Transparency of Autonomous Systems</w:t>
      </w:r>
      <w:r w:rsidRPr="00343142">
        <w:rPr>
          <w:rFonts w:ascii="Aptos" w:hAnsi="Aptos" w:cs="Times New Roman"/>
          <w:kern w:val="0"/>
        </w:rPr>
        <w:t>, 2021)</w:t>
      </w:r>
      <w:r>
        <w:fldChar w:fldCharType="end"/>
      </w:r>
      <w:r w:rsidRPr="00343142">
        <w:t xml:space="preserve">. The dual-use dilemma Abdulhakim identifies reflects broader challenges documented in science and technology studies: defensive technologies inevitably evolve into offensive capabilities </w:t>
      </w:r>
      <w:r>
        <w:fldChar w:fldCharType="begin"/>
      </w:r>
      <w:r>
        <w:instrText xml:space="preserve"> ADDIN ZOTERO_ITEM CSL_CITATION {"citationID":"KJEXibqO","properties":{"formattedCitation":"(MacKenzie, 1993)","plainCitation":"(MacKenzie, 1993)","noteIndex":0},"citationItems":[{"id":836,"uris":["http://zotero.org/users/local/kYTWq1ZA/items/ZACR7HWL"],"itemData":{"id":836,"type":"book","abstract":"\"Mackenzie has achieved a masterful synthesis of engrossing narrative, imaginative concepts, historical perspective, and social concern.\"Thomas P. Hughes, Mellon Professor of the History and Sociology of Science, The University of Pennsylvania","collection-title":"Inside Technology","event-place":"Cambridge, MA, USA","ISBN":"978-0-262-63147-1","language":"en","number-of-pages":"480","publisher":"MIT Press","publisher-place":"Cambridge, MA, USA","source":"MIT Press Books","title":"Inventing Accuracy: A Historical Sociology of Nuclear Missile Guidance","title-short":"Inventing Accuracy","author":[{"family":"MacKenzie","given":"Donald"}],"collection-editor":[{"family":"Bijker","given":"Wiebe"},{"family":"Jones-Imhotep","given":"Edward"},{"family":"Slayton","given":"Rebecca"}],"issued":{"date-parts":[["1993",1,29]]}}}],"schema":"https://github.com/citation-style-language/schema/raw/master/csl-citation.json"} </w:instrText>
      </w:r>
      <w:r>
        <w:fldChar w:fldCharType="separate"/>
      </w:r>
      <w:r w:rsidRPr="00343142">
        <w:rPr>
          <w:rFonts w:ascii="Aptos" w:hAnsi="Aptos"/>
        </w:rPr>
        <w:t>(MacKenzie, 1993)</w:t>
      </w:r>
      <w:r>
        <w:fldChar w:fldCharType="end"/>
      </w:r>
      <w:r w:rsidRPr="00343142">
        <w:t xml:space="preserve">, requiring proactive ethical frameworks rather than reactive responses. The Campaign to Stop Killer Robots demonstrates how professional communities can influence policy development in autonomous weapons governance </w:t>
      </w:r>
      <w:r w:rsidR="000B47B9">
        <w:fldChar w:fldCharType="begin"/>
      </w:r>
      <w:r w:rsidR="000B47B9">
        <w:instrText xml:space="preserve"> ADDIN ZOTERO_ITEM CSL_CITATION {"citationID":"h8jkfAT9","properties":{"formattedCitation":"(Wareham, 2020)","plainCitation":"(Wareham, 2020)","noteIndex":0},"citationItems":[{"id":840,"uris":["http://zotero.org/users/local/kYTWq1ZA/items/S5MDD7CU"],"itemData":{"id":840,"type":"article-journal","abstract":"The 55-page report, “Stopping Killer Robots: Country Positions on Banning Fully Autonomous Weapons and Retaining Human Control,” reviews the policies of the 97 countries that have publicly elaborated their views on killer robots since 2013. The vast majority regard human control and decision-making as critical to the acceptability and legality of weapons systems. Most of these countries have expressed their desire for a new treaty to retain human control over the use of force, including 30 that explicitly seek to ban fully autonomous weapons.","container-title":"Human Rights Watch","language":"en","source":"Human Rights Watch","title":"Stopping Killer Robots","URL":"https://www.hrw.org/report/2020/08/10/stopping-killer-robots/country-positions-banning-fully-autonomous-weapons-and","author":[{"family":"Wareham","given":"Mary"}],"accessed":{"date-parts":[["2025",8,31]]},"issued":{"date-parts":[["2020",8,10]]}}}],"schema":"https://github.com/citation-style-language/schema/raw/master/csl-citation.json"} </w:instrText>
      </w:r>
      <w:r w:rsidR="000B47B9">
        <w:fldChar w:fldCharType="separate"/>
      </w:r>
      <w:r w:rsidR="000B47B9" w:rsidRPr="000B47B9">
        <w:rPr>
          <w:rFonts w:ascii="Aptos" w:hAnsi="Aptos"/>
        </w:rPr>
        <w:t>(Wareham, 2020)</w:t>
      </w:r>
      <w:r w:rsidR="000B47B9">
        <w:fldChar w:fldCharType="end"/>
      </w:r>
      <w:r w:rsidRPr="00343142">
        <w:t>.</w:t>
      </w:r>
    </w:p>
    <w:p w14:paraId="55F6EF92" w14:textId="77777777" w:rsidR="00343142" w:rsidRPr="00343142" w:rsidRDefault="00343142" w:rsidP="000B47B9">
      <w:pPr>
        <w:jc w:val="both"/>
      </w:pPr>
      <w:r w:rsidRPr="00343142">
        <w:t>The Q Industries case ultimately demonstrates that professional ethics in computing must evolve beyond individual decision-making to encompass collective responsibility for technologies that can fundamentally alter power balances between states and citizens. The convergence of technical bias, legal frameworks, and ethical obligations reinforces that computing professionals bear heightened stewardship responsibilities when their work intersects with fundamental human rights and international security.</w:t>
      </w:r>
    </w:p>
    <w:p w14:paraId="0B19EB6F" w14:textId="77777777" w:rsidR="00343142" w:rsidRDefault="00343142" w:rsidP="00343142">
      <w:r w:rsidRPr="00343142">
        <w:rPr>
          <w:b/>
          <w:bCs/>
        </w:rPr>
        <w:t>References:</w:t>
      </w:r>
      <w:r w:rsidRPr="00343142">
        <w:t> </w:t>
      </w:r>
    </w:p>
    <w:p w14:paraId="4CFF661A" w14:textId="77777777" w:rsidR="000B47B9" w:rsidRPr="000B47B9" w:rsidRDefault="000B47B9" w:rsidP="000B47B9">
      <w:pPr>
        <w:pStyle w:val="Bibliography"/>
        <w:rPr>
          <w:rFonts w:ascii="Aptos" w:hAnsi="Aptos"/>
        </w:rPr>
      </w:pPr>
      <w:r>
        <w:fldChar w:fldCharType="begin"/>
      </w:r>
      <w:r>
        <w:instrText xml:space="preserve"> ADDIN ZOTERO_BIBL {"uncited":[],"omitted":[],"custom":[]} CSL_BIBLIOGRAPHY </w:instrText>
      </w:r>
      <w:r>
        <w:fldChar w:fldCharType="separate"/>
      </w:r>
      <w:r w:rsidRPr="000B47B9">
        <w:rPr>
          <w:rFonts w:ascii="Aptos" w:hAnsi="Aptos"/>
        </w:rPr>
        <w:t>Association for Computing Machinery (2018) ‘Code of Ethics’. Available at: https://www.acm.org/code-of-ethics (Accessed: 31 August 2025).</w:t>
      </w:r>
    </w:p>
    <w:p w14:paraId="7CFCBF92" w14:textId="77777777" w:rsidR="000B47B9" w:rsidRPr="000B47B9" w:rsidRDefault="000B47B9" w:rsidP="000B47B9">
      <w:pPr>
        <w:pStyle w:val="Bibliography"/>
        <w:rPr>
          <w:rFonts w:ascii="Aptos" w:hAnsi="Aptos"/>
        </w:rPr>
      </w:pPr>
      <w:r w:rsidRPr="000B47B9">
        <w:rPr>
          <w:rFonts w:ascii="Aptos" w:hAnsi="Aptos"/>
        </w:rPr>
        <w:t xml:space="preserve">British Computing Society (2022) </w:t>
      </w:r>
      <w:r w:rsidRPr="000B47B9">
        <w:rPr>
          <w:rFonts w:ascii="Aptos" w:hAnsi="Aptos"/>
          <w:i/>
          <w:iCs/>
        </w:rPr>
        <w:t>BCS Code of Conduct for members - Ethics for IT professionals</w:t>
      </w:r>
      <w:r w:rsidRPr="000B47B9">
        <w:rPr>
          <w:rFonts w:ascii="Aptos" w:hAnsi="Aptos"/>
        </w:rPr>
        <w:t>. Available at: https://www.bcs.org/membership-and-registrations/become-a-member/bcs-code-of-conduct (Accessed: 31 August 2025).</w:t>
      </w:r>
    </w:p>
    <w:p w14:paraId="074E32DD" w14:textId="77777777" w:rsidR="000B47B9" w:rsidRPr="000B47B9" w:rsidRDefault="000B47B9" w:rsidP="000B47B9">
      <w:pPr>
        <w:pStyle w:val="Bibliography"/>
        <w:rPr>
          <w:rFonts w:ascii="Aptos" w:hAnsi="Aptos"/>
        </w:rPr>
      </w:pPr>
      <w:r w:rsidRPr="000B47B9">
        <w:rPr>
          <w:rFonts w:ascii="Aptos" w:hAnsi="Aptos"/>
          <w:i/>
          <w:iCs/>
        </w:rPr>
        <w:t>IEEE Standard for Transparency of Autonomous Systems</w:t>
      </w:r>
      <w:r w:rsidRPr="000B47B9">
        <w:rPr>
          <w:rFonts w:ascii="Aptos" w:hAnsi="Aptos"/>
        </w:rPr>
        <w:t xml:space="preserve"> (2021) </w:t>
      </w:r>
      <w:r w:rsidRPr="000B47B9">
        <w:rPr>
          <w:rFonts w:ascii="Aptos" w:hAnsi="Aptos"/>
          <w:i/>
          <w:iCs/>
        </w:rPr>
        <w:t>IEEE Standards Association</w:t>
      </w:r>
      <w:r w:rsidRPr="000B47B9">
        <w:rPr>
          <w:rFonts w:ascii="Aptos" w:hAnsi="Aptos"/>
        </w:rPr>
        <w:t>. Available at: https://standards.ieee.org/ieee/7001/6929/ (Accessed: 31 August 2025).</w:t>
      </w:r>
    </w:p>
    <w:p w14:paraId="5E01EE46" w14:textId="77777777" w:rsidR="000B47B9" w:rsidRPr="000B47B9" w:rsidRDefault="000B47B9" w:rsidP="000B47B9">
      <w:pPr>
        <w:pStyle w:val="Bibliography"/>
        <w:rPr>
          <w:rFonts w:ascii="Aptos" w:hAnsi="Aptos"/>
        </w:rPr>
      </w:pPr>
      <w:r w:rsidRPr="000B47B9">
        <w:rPr>
          <w:rFonts w:ascii="Aptos" w:hAnsi="Aptos"/>
        </w:rPr>
        <w:t xml:space="preserve">MacKenzie, D. (1993) </w:t>
      </w:r>
      <w:r w:rsidRPr="000B47B9">
        <w:rPr>
          <w:rFonts w:ascii="Aptos" w:hAnsi="Aptos"/>
          <w:i/>
          <w:iCs/>
        </w:rPr>
        <w:t>Inventing Accuracy: A Historical Sociology of Nuclear Missile Guidance</w:t>
      </w:r>
      <w:r w:rsidRPr="000B47B9">
        <w:rPr>
          <w:rFonts w:ascii="Aptos" w:hAnsi="Aptos"/>
        </w:rPr>
        <w:t>. Cambridge, MA, USA: MIT Press (Inside Technology).</w:t>
      </w:r>
    </w:p>
    <w:p w14:paraId="0B1ED0CB" w14:textId="77777777" w:rsidR="000B47B9" w:rsidRPr="000B47B9" w:rsidRDefault="000B47B9" w:rsidP="000B47B9">
      <w:pPr>
        <w:pStyle w:val="Bibliography"/>
        <w:rPr>
          <w:rFonts w:ascii="Aptos" w:hAnsi="Aptos"/>
        </w:rPr>
      </w:pPr>
      <w:r w:rsidRPr="000B47B9">
        <w:rPr>
          <w:rFonts w:ascii="Aptos" w:hAnsi="Aptos"/>
        </w:rPr>
        <w:lastRenderedPageBreak/>
        <w:t xml:space="preserve">Rotblat, J. (1999) ‘A Hippocratic Oath for Scientists’, </w:t>
      </w:r>
      <w:r w:rsidRPr="000B47B9">
        <w:rPr>
          <w:rFonts w:ascii="Aptos" w:hAnsi="Aptos"/>
          <w:i/>
          <w:iCs/>
        </w:rPr>
        <w:t>Science</w:t>
      </w:r>
      <w:r w:rsidRPr="000B47B9">
        <w:rPr>
          <w:rFonts w:ascii="Aptos" w:hAnsi="Aptos"/>
        </w:rPr>
        <w:t>, 286(5444), pp. 1475–1475. Available at: https://doi.org/10.1126/science.286.5444.1475.</w:t>
      </w:r>
    </w:p>
    <w:p w14:paraId="383CBBA9" w14:textId="77777777" w:rsidR="000B47B9" w:rsidRPr="000B47B9" w:rsidRDefault="000B47B9" w:rsidP="000B47B9">
      <w:pPr>
        <w:pStyle w:val="Bibliography"/>
        <w:rPr>
          <w:rFonts w:ascii="Aptos" w:hAnsi="Aptos"/>
        </w:rPr>
      </w:pPr>
      <w:r w:rsidRPr="000B47B9">
        <w:rPr>
          <w:rFonts w:ascii="Aptos" w:hAnsi="Aptos"/>
        </w:rPr>
        <w:t>United Nations Office for Disarmament Affairs (2001) ‘The Convention on Certain Conventional Weapons’. Available at: https://disarmament.unoda.org/the-convention-on-certain-conventional-weapons/ (Accessed: 31 August 2025).</w:t>
      </w:r>
    </w:p>
    <w:p w14:paraId="0CF819EA" w14:textId="77777777" w:rsidR="000B47B9" w:rsidRPr="000B47B9" w:rsidRDefault="000B47B9" w:rsidP="000B47B9">
      <w:pPr>
        <w:pStyle w:val="Bibliography"/>
        <w:rPr>
          <w:rFonts w:ascii="Aptos" w:hAnsi="Aptos"/>
        </w:rPr>
      </w:pPr>
      <w:r w:rsidRPr="000B47B9">
        <w:rPr>
          <w:rFonts w:ascii="Aptos" w:hAnsi="Aptos"/>
        </w:rPr>
        <w:t xml:space="preserve">Wareham, M. (2020) ‘Stopping Killer Robots’, </w:t>
      </w:r>
      <w:r w:rsidRPr="000B47B9">
        <w:rPr>
          <w:rFonts w:ascii="Aptos" w:hAnsi="Aptos"/>
          <w:i/>
          <w:iCs/>
        </w:rPr>
        <w:t>Human Rights Watch</w:t>
      </w:r>
      <w:r w:rsidRPr="000B47B9">
        <w:rPr>
          <w:rFonts w:ascii="Aptos" w:hAnsi="Aptos"/>
        </w:rPr>
        <w:t xml:space="preserve"> [Preprint]. Available at: https://www.hrw.org/report/2020/08/10/stopping-killer-robots/country-positions-banning-fully-autonomous-weapons-and (Accessed: 31 August 2025).</w:t>
      </w:r>
    </w:p>
    <w:p w14:paraId="1875A52A" w14:textId="1C4AF27D" w:rsidR="000F2EAE" w:rsidRDefault="000B47B9" w:rsidP="000F2EAE">
      <w:r>
        <w:fldChar w:fldCharType="end"/>
      </w:r>
    </w:p>
    <w:p w14:paraId="0946B97B" w14:textId="77777777" w:rsidR="000F2EAE" w:rsidRPr="00343142" w:rsidRDefault="000F2EAE">
      <w:pPr>
        <w:rPr>
          <w:b/>
          <w:bCs/>
        </w:rPr>
      </w:pPr>
    </w:p>
    <w:sectPr w:rsidR="000F2EAE" w:rsidRPr="003431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EAE"/>
    <w:rsid w:val="00056CE1"/>
    <w:rsid w:val="000B47B9"/>
    <w:rsid w:val="000F2EAE"/>
    <w:rsid w:val="00343142"/>
    <w:rsid w:val="004B205C"/>
    <w:rsid w:val="007F0C5B"/>
    <w:rsid w:val="008356EB"/>
    <w:rsid w:val="00883FCD"/>
    <w:rsid w:val="008A63AD"/>
    <w:rsid w:val="00951D80"/>
    <w:rsid w:val="00E73439"/>
    <w:rsid w:val="00F610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E2532"/>
  <w15:chartTrackingRefBased/>
  <w15:docId w15:val="{885D2E2F-6DD8-49E8-B07D-4B440C98E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2E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2E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2E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2E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2E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2E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2E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2E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2E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E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2E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2E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2E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2E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2E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2E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2E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2EAE"/>
    <w:rPr>
      <w:rFonts w:eastAsiaTheme="majorEastAsia" w:cstheme="majorBidi"/>
      <w:color w:val="272727" w:themeColor="text1" w:themeTint="D8"/>
    </w:rPr>
  </w:style>
  <w:style w:type="paragraph" w:styleId="Title">
    <w:name w:val="Title"/>
    <w:basedOn w:val="Normal"/>
    <w:next w:val="Normal"/>
    <w:link w:val="TitleChar"/>
    <w:uiPriority w:val="10"/>
    <w:qFormat/>
    <w:rsid w:val="000F2E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2E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2E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2E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2EAE"/>
    <w:pPr>
      <w:spacing w:before="160"/>
      <w:jc w:val="center"/>
    </w:pPr>
    <w:rPr>
      <w:i/>
      <w:iCs/>
      <w:color w:val="404040" w:themeColor="text1" w:themeTint="BF"/>
    </w:rPr>
  </w:style>
  <w:style w:type="character" w:customStyle="1" w:styleId="QuoteChar">
    <w:name w:val="Quote Char"/>
    <w:basedOn w:val="DefaultParagraphFont"/>
    <w:link w:val="Quote"/>
    <w:uiPriority w:val="29"/>
    <w:rsid w:val="000F2EAE"/>
    <w:rPr>
      <w:i/>
      <w:iCs/>
      <w:color w:val="404040" w:themeColor="text1" w:themeTint="BF"/>
    </w:rPr>
  </w:style>
  <w:style w:type="paragraph" w:styleId="ListParagraph">
    <w:name w:val="List Paragraph"/>
    <w:basedOn w:val="Normal"/>
    <w:uiPriority w:val="34"/>
    <w:qFormat/>
    <w:rsid w:val="000F2EAE"/>
    <w:pPr>
      <w:ind w:left="720"/>
      <w:contextualSpacing/>
    </w:pPr>
  </w:style>
  <w:style w:type="character" w:styleId="IntenseEmphasis">
    <w:name w:val="Intense Emphasis"/>
    <w:basedOn w:val="DefaultParagraphFont"/>
    <w:uiPriority w:val="21"/>
    <w:qFormat/>
    <w:rsid w:val="000F2EAE"/>
    <w:rPr>
      <w:i/>
      <w:iCs/>
      <w:color w:val="0F4761" w:themeColor="accent1" w:themeShade="BF"/>
    </w:rPr>
  </w:style>
  <w:style w:type="paragraph" w:styleId="IntenseQuote">
    <w:name w:val="Intense Quote"/>
    <w:basedOn w:val="Normal"/>
    <w:next w:val="Normal"/>
    <w:link w:val="IntenseQuoteChar"/>
    <w:uiPriority w:val="30"/>
    <w:qFormat/>
    <w:rsid w:val="000F2E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2EAE"/>
    <w:rPr>
      <w:i/>
      <w:iCs/>
      <w:color w:val="0F4761" w:themeColor="accent1" w:themeShade="BF"/>
    </w:rPr>
  </w:style>
  <w:style w:type="character" w:styleId="IntenseReference">
    <w:name w:val="Intense Reference"/>
    <w:basedOn w:val="DefaultParagraphFont"/>
    <w:uiPriority w:val="32"/>
    <w:qFormat/>
    <w:rsid w:val="000F2EAE"/>
    <w:rPr>
      <w:b/>
      <w:bCs/>
      <w:smallCaps/>
      <w:color w:val="0F4761" w:themeColor="accent1" w:themeShade="BF"/>
      <w:spacing w:val="5"/>
    </w:rPr>
  </w:style>
  <w:style w:type="paragraph" w:styleId="Bibliography">
    <w:name w:val="Bibliography"/>
    <w:basedOn w:val="Normal"/>
    <w:next w:val="Normal"/>
    <w:uiPriority w:val="37"/>
    <w:unhideWhenUsed/>
    <w:rsid w:val="000F2EAE"/>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802171">
      <w:bodyDiv w:val="1"/>
      <w:marLeft w:val="0"/>
      <w:marRight w:val="0"/>
      <w:marTop w:val="0"/>
      <w:marBottom w:val="0"/>
      <w:divBdr>
        <w:top w:val="none" w:sz="0" w:space="0" w:color="auto"/>
        <w:left w:val="none" w:sz="0" w:space="0" w:color="auto"/>
        <w:bottom w:val="none" w:sz="0" w:space="0" w:color="auto"/>
        <w:right w:val="none" w:sz="0" w:space="0" w:color="auto"/>
      </w:divBdr>
    </w:div>
    <w:div w:id="1116413841">
      <w:bodyDiv w:val="1"/>
      <w:marLeft w:val="0"/>
      <w:marRight w:val="0"/>
      <w:marTop w:val="0"/>
      <w:marBottom w:val="0"/>
      <w:divBdr>
        <w:top w:val="none" w:sz="0" w:space="0" w:color="auto"/>
        <w:left w:val="none" w:sz="0" w:space="0" w:color="auto"/>
        <w:bottom w:val="none" w:sz="0" w:space="0" w:color="auto"/>
        <w:right w:val="none" w:sz="0" w:space="0" w:color="auto"/>
      </w:divBdr>
    </w:div>
    <w:div w:id="1320843224">
      <w:bodyDiv w:val="1"/>
      <w:marLeft w:val="0"/>
      <w:marRight w:val="0"/>
      <w:marTop w:val="0"/>
      <w:marBottom w:val="0"/>
      <w:divBdr>
        <w:top w:val="none" w:sz="0" w:space="0" w:color="auto"/>
        <w:left w:val="none" w:sz="0" w:space="0" w:color="auto"/>
        <w:bottom w:val="none" w:sz="0" w:space="0" w:color="auto"/>
        <w:right w:val="none" w:sz="0" w:space="0" w:color="auto"/>
      </w:divBdr>
    </w:div>
    <w:div w:id="151194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1507</Words>
  <Characters>8596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Amorim, Guilherme</dc:creator>
  <cp:keywords/>
  <dc:description/>
  <cp:lastModifiedBy>Amorim, Guilherme</cp:lastModifiedBy>
  <cp:revision>2</cp:revision>
  <dcterms:created xsi:type="dcterms:W3CDTF">2025-08-31T15:08:00Z</dcterms:created>
  <dcterms:modified xsi:type="dcterms:W3CDTF">2025-08-31T15:21:00Z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id="gMo5HDgm"/&gt;&lt;style id="http://www.zotero.org/styles/harvard-cite-them-right" locale="en-GB" hasBibliography="1" bibliographyStyleHasBeenSet="1"/&gt;&lt;prefs&gt;&lt;pref name="fieldType" value="Field"/&gt;&lt;/prefs</vt:lpwstr>
  </property>
  <property fmtid="{D5CDD505-2E9C-101B-9397-08002B2CF9AE}" pid="3" name="ZOTERO_PREF_2">
    <vt:lpwstr>&gt;&lt;/data&gt;</vt:lpwstr>
  </property>
</Properties>
</file>