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5BFD4" w14:textId="660EDE45" w:rsidR="008356EB" w:rsidRDefault="000F2EAE">
      <w:pPr>
        <w:rPr>
          <w:b/>
          <w:bCs/>
        </w:rPr>
      </w:pPr>
      <w:r w:rsidRPr="000F2EAE">
        <w:rPr>
          <w:b/>
          <w:bCs/>
        </w:rPr>
        <w:t xml:space="preserve">Peer response </w:t>
      </w:r>
      <w:r w:rsidR="00A949B8">
        <w:rPr>
          <w:b/>
          <w:bCs/>
        </w:rPr>
        <w:t>3</w:t>
      </w:r>
      <w:r w:rsidRPr="000F2EAE">
        <w:rPr>
          <w:b/>
          <w:bCs/>
        </w:rPr>
        <w:t xml:space="preserve"> – </w:t>
      </w:r>
      <w:proofErr w:type="spellStart"/>
      <w:r w:rsidR="00A949B8">
        <w:rPr>
          <w:b/>
          <w:bCs/>
        </w:rPr>
        <w:t>Thaimu</w:t>
      </w:r>
      <w:proofErr w:type="spellEnd"/>
    </w:p>
    <w:p w14:paraId="422B5C47" w14:textId="11A88A06" w:rsidR="003421EA" w:rsidRPr="003421EA" w:rsidRDefault="003421EA" w:rsidP="003421EA">
      <w:pPr>
        <w:jc w:val="both"/>
      </w:pPr>
      <w:proofErr w:type="spellStart"/>
      <w:r w:rsidRPr="003421EA">
        <w:t>Thaimu's</w:t>
      </w:r>
      <w:proofErr w:type="spellEnd"/>
      <w:r w:rsidRPr="003421EA">
        <w:t xml:space="preserve"> comprehensive analysis effectively demonstrates how </w:t>
      </w:r>
      <w:proofErr w:type="spellStart"/>
      <w:r w:rsidRPr="003421EA">
        <w:t>AllTogether's</w:t>
      </w:r>
      <w:proofErr w:type="spellEnd"/>
      <w:r w:rsidRPr="003421EA">
        <w:t xml:space="preserve"> decision to release inaccessible software violates multiple principles within the BCS Code of Conduct</w:t>
      </w:r>
      <w:r>
        <w:t xml:space="preserve"> </w:t>
      </w:r>
      <w:r>
        <w:fldChar w:fldCharType="begin"/>
      </w:r>
      <w:r>
        <w:instrText xml:space="preserve"> ADDIN ZOTERO_ITEM CSL_CITATION {"citationID":"b3zzVFUh","properties":{"formattedCitation":"(British Computing Society, 2022)","plainCitation":"(British Computing Society, 2022)","noteIndex":0},"citationItems":[{"id":820,"uris":["http://zotero.org/users/local/kYTWq1ZA/items/9P63TSM5"],"itemData":{"id":820,"type":"webpage","title":"BCS Code of Conduct for members - Ethics for IT professionals","URL":"https://www.bcs.org/membership-and-registrations/become-a-member/bcs-code-of-conduct","author":[{"family":"British Computing Society","given":""}],"accessed":{"date-parts":[["2025",8,31]]},"issued":{"date-parts":[["2022",6,8]]}}}],"schema":"https://github.com/citation-style-language/schema/raw/master/csl-citation.json"} </w:instrText>
      </w:r>
      <w:r>
        <w:fldChar w:fldCharType="separate"/>
      </w:r>
      <w:r w:rsidRPr="003421EA">
        <w:rPr>
          <w:rFonts w:ascii="Aptos" w:hAnsi="Aptos"/>
        </w:rPr>
        <w:t>(British Computing Society, 2022)</w:t>
      </w:r>
      <w:r>
        <w:fldChar w:fldCharType="end"/>
      </w:r>
      <w:r w:rsidRPr="003421EA">
        <w:t>, particularly regarding public interest and professional competence. His legal framework analysis correctly identifies the UK Equality Act 2010 and Public Sector Bodies Accessibility Regulations 2018 as key compliance requirements, while his application of BCS principles clearly illustrates how prioritizing launch deadlines over accessibility constitutes a breach of professional duty. The analysis effectively connects legal obligations with professional ethics, demonstrating how accessibility failures represent both discrimination and professional negligence.</w:t>
      </w:r>
    </w:p>
    <w:p w14:paraId="147FF6AC" w14:textId="5EE032B1" w:rsidR="003421EA" w:rsidRPr="003421EA" w:rsidRDefault="003421EA" w:rsidP="00783FD2">
      <w:pPr>
        <w:jc w:val="both"/>
      </w:pPr>
      <w:r w:rsidRPr="003421EA">
        <w:t xml:space="preserve">The most pressing issues </w:t>
      </w:r>
      <w:proofErr w:type="spellStart"/>
      <w:r w:rsidRPr="003421EA">
        <w:t>Thaimu</w:t>
      </w:r>
      <w:proofErr w:type="spellEnd"/>
      <w:r w:rsidRPr="003421EA">
        <w:t xml:space="preserve"> raises </w:t>
      </w:r>
      <w:proofErr w:type="spellStart"/>
      <w:r w:rsidRPr="003421EA">
        <w:t>center</w:t>
      </w:r>
      <w:proofErr w:type="spellEnd"/>
      <w:r w:rsidRPr="003421EA">
        <w:t xml:space="preserve"> on the tension between commercial pressures and professional obligations, exemplified by leadership's dismissive question: "How many blind people use our product, anyway?" This attitude reflects broader systemic problems in technology development where accessibility is treated as an afterthought rather than a fundamental design requirement. The case study's revelation that post-release support costs exceeded proactive accessibility implementation costs supports research by the Business Disability Forum (2020) showing that inclusive design reduces long-term operational expenses</w:t>
      </w:r>
      <w:r w:rsidR="00783FD2">
        <w:t xml:space="preserve"> </w:t>
      </w:r>
      <w:r w:rsidR="00783FD2">
        <w:fldChar w:fldCharType="begin"/>
      </w:r>
      <w:r w:rsidR="00783FD2">
        <w:instrText xml:space="preserve"> ADDIN ZOTERO_ITEM CSL_CITATION {"citationID":"kXTPeVBn","properties":{"formattedCitation":"(Business Disability Forum, 2025)","plainCitation":"(Business Disability Forum, 2025)","noteIndex":0},"citationItems":[{"id":846,"uris":["http://zotero.org/users/local/kYTWq1ZA/items/2DBSWMNH"],"itemData":{"id":846,"type":"post-weblog","abstract":"Welcome to the hub page for our Disability Data Monitoring Working Group and our policy and research work on disability workforce and pay gap reporting.","language":"en-GB","title":"Disability workforce and pay gap reporting","URL":"https://businessdisabilityforum.org.uk/resource/disability-workforce-reporting/","author":[{"family":"Business Disability Forum","given":""}],"accessed":{"date-parts":[["2025",8,31]]},"issued":{"date-parts":[["2025",7,31]]}}}],"schema":"https://github.com/citation-style-language/schema/raw/master/csl-citation.json"} </w:instrText>
      </w:r>
      <w:r w:rsidR="00783FD2">
        <w:fldChar w:fldCharType="separate"/>
      </w:r>
      <w:r w:rsidR="00783FD2" w:rsidRPr="00783FD2">
        <w:rPr>
          <w:rFonts w:ascii="Aptos" w:hAnsi="Aptos"/>
        </w:rPr>
        <w:t>(Business Disability Forum, 2025)</w:t>
      </w:r>
      <w:r w:rsidR="00783FD2">
        <w:fldChar w:fldCharType="end"/>
      </w:r>
      <w:r w:rsidRPr="003421EA">
        <w:t xml:space="preserve">. </w:t>
      </w:r>
      <w:proofErr w:type="spellStart"/>
      <w:r w:rsidRPr="003421EA">
        <w:t>Thaimu's</w:t>
      </w:r>
      <w:proofErr w:type="spellEnd"/>
      <w:r w:rsidRPr="003421EA">
        <w:t xml:space="preserve"> emphasis on the BCS requirement to "promote equal access to the benefits of IT" aligns with the UN Convention on the Rights of Persons with Disabilities (2006), which establishes accessibility as a human right rather than charitable accommodation</w:t>
      </w:r>
      <w:r w:rsidR="007551B0">
        <w:t xml:space="preserve"> </w:t>
      </w:r>
      <w:r w:rsidR="007551B0">
        <w:fldChar w:fldCharType="begin"/>
      </w:r>
      <w:r w:rsidR="007551B0">
        <w:instrText xml:space="preserve"> ADDIN ZOTERO_ITEM CSL_CITATION {"citationID":"SpsvaeFW","properties":{"formattedCitation":"(UN Department of Economic and Social Affairs, 2006)","plainCitation":"(UN Department of Economic and Social Affairs, 2006)","noteIndex":0},"citationItems":[{"id":852,"uris":["http://zotero.org/users/local/kYTWq1ZA/items/JVNEQNZ4"],"itemData":{"id":852,"type":"webpage","title":"Convention on the Rights of Persons with Disabilities (CRPD) | Division for Inclusive Social Development (DISD)","URL":"https://social.desa.un.org/issues/disability/crpd/convention-on-the-rights-of-persons-with-disabilities-crpd","author":[{"family":"UN Department of Economic and Social Affairs","given":""}],"accessed":{"date-parts":[["2025",8,31]]},"issued":{"date-parts":[["2006"]]}}}],"schema":"https://github.com/citation-style-language/schema/raw/master/csl-citation.json"} </w:instrText>
      </w:r>
      <w:r w:rsidR="007551B0">
        <w:fldChar w:fldCharType="separate"/>
      </w:r>
      <w:r w:rsidR="007551B0" w:rsidRPr="007551B0">
        <w:rPr>
          <w:rFonts w:ascii="Aptos" w:hAnsi="Aptos"/>
        </w:rPr>
        <w:t>(UN Department of Economic and Social Affairs, 2006)</w:t>
      </w:r>
      <w:r w:rsidR="007551B0">
        <w:fldChar w:fldCharType="end"/>
      </w:r>
      <w:r w:rsidRPr="003421EA">
        <w:t>. The hidden control design pattern failure demonstrates how seemingly minor interface decisions can create systemic exclusion, supporting Gregg Vanderheiden's principle that "what is essential for some is good for all" in universal design</w:t>
      </w:r>
      <w:r w:rsidR="007551B0">
        <w:t xml:space="preserve"> </w:t>
      </w:r>
      <w:r w:rsidR="007551B0">
        <w:fldChar w:fldCharType="begin"/>
      </w:r>
      <w:r w:rsidR="007551B0">
        <w:instrText xml:space="preserve"> ADDIN ZOTERO_ITEM CSL_CITATION {"citationID":"S9aYvHPB","properties":{"formattedCitation":"(Vanderheiden, 1991)","plainCitation":"(Vanderheiden, 1991)","noteIndex":0},"citationItems":[{"id":854,"uris":["http://zotero.org/users/local/kYTWq1ZA/items/EWJW3QHB"],"itemData":{"id":854,"type":"book","call-number":"TS171.4 .V36 1991","event-place":"Madison, Wisc","language":"eng","publisher":"Trace Research &amp; Development Center","publisher-place":"Madison, Wisc","source":"search.library.ucla.edu","title":"Accessible design of consumer products: guidelines for the design of consumer products to increase their accessibility to people with disabilities or who are aging","title-short":"Accessible design of consumer products","author":[{"family":"Vanderheiden","given":"Gregg C."}],"contributor":[{"literal":"Consumer Products Guidelines Project AD HOC Industry-Consumer-Researcher Work Group"},{"family":"Vanderheiden","given":"Katherine R."}],"issued":{"date-parts":[["1991"]]}}}],"schema":"https://github.com/citation-style-language/schema/raw/master/csl-citation.json"} </w:instrText>
      </w:r>
      <w:r w:rsidR="007551B0">
        <w:fldChar w:fldCharType="separate"/>
      </w:r>
      <w:r w:rsidR="007551B0" w:rsidRPr="007551B0">
        <w:rPr>
          <w:rFonts w:ascii="Aptos" w:hAnsi="Aptos"/>
        </w:rPr>
        <w:t>(Vanderheiden, 1991)</w:t>
      </w:r>
      <w:r w:rsidR="007551B0">
        <w:fldChar w:fldCharType="end"/>
      </w:r>
      <w:r w:rsidRPr="003421EA">
        <w:t xml:space="preserve">. Microsoft's inclusive design methodology provides a practical framework for operationalizing these principles, showing how considering permanent, temporary, and situational disabilities during development improves usability universally </w:t>
      </w:r>
      <w:r w:rsidR="007551B0">
        <w:fldChar w:fldCharType="begin"/>
      </w:r>
      <w:r w:rsidR="007551B0">
        <w:instrText xml:space="preserve"> ADDIN ZOTERO_ITEM CSL_CITATION {"citationID":"11bXLmjo","properties":{"formattedCitation":"(Holmes, 2020)","plainCitation":"(Holmes, 2020)","noteIndex":0},"citationItems":[{"id":855,"uris":["http://zotero.org/users/local/kYTWq1ZA/items/2MYQVPYB"],"itemData":{"id":855,"type":"book","abstract":"How inclusive methods can build elegant design solutions that work for all.","collection-title":"Simplicity: Design, Technology, Business, Life","event-place":"Cambridge, MA, USA","ISBN":"978-0-262-53948-7","language":"en","number-of-pages":"176","publisher":"MIT Press","publisher-place":"Cambridge, MA, USA","source":"MIT Press Books","title":"Mismatch: How Inclusion Shapes Design","title-short":"Mismatch","author":[{"family":"Holmes","given":"Kat"}],"collection-editor":[{"family":"Maeda","given":"John"}],"issued":{"date-parts":[["2020",9,1]]}}}],"schema":"https://github.com/citation-style-language/schema/raw/master/csl-citation.json"} </w:instrText>
      </w:r>
      <w:r w:rsidR="007551B0">
        <w:fldChar w:fldCharType="separate"/>
      </w:r>
      <w:r w:rsidR="007551B0" w:rsidRPr="007551B0">
        <w:rPr>
          <w:rFonts w:ascii="Aptos" w:hAnsi="Aptos"/>
        </w:rPr>
        <w:t>(Holmes, 2020)</w:t>
      </w:r>
      <w:r w:rsidR="007551B0">
        <w:fldChar w:fldCharType="end"/>
      </w:r>
      <w:r w:rsidRPr="003421EA">
        <w:t>.</w:t>
      </w:r>
    </w:p>
    <w:p w14:paraId="0C26E706" w14:textId="77777777" w:rsidR="003421EA" w:rsidRPr="003421EA" w:rsidRDefault="003421EA" w:rsidP="00783FD2">
      <w:pPr>
        <w:jc w:val="both"/>
      </w:pPr>
      <w:proofErr w:type="spellStart"/>
      <w:r w:rsidRPr="003421EA">
        <w:t>Thaimu's</w:t>
      </w:r>
      <w:proofErr w:type="spellEnd"/>
      <w:r w:rsidRPr="003421EA">
        <w:t xml:space="preserve"> conclusion that accessibility should be "a core marker of quality and competence" reflects the evolution of professional computing standards toward inclusive practice. The </w:t>
      </w:r>
      <w:proofErr w:type="spellStart"/>
      <w:r w:rsidRPr="003421EA">
        <w:t>AllTogether</w:t>
      </w:r>
      <w:proofErr w:type="spellEnd"/>
      <w:r w:rsidRPr="003421EA">
        <w:t xml:space="preserve"> case demonstrates that professional ethics in computing must encompass proactive consideration of diverse user needs, moving beyond compliance to embrace accessibility as fundamental to technical excellence and social responsibility.</w:t>
      </w:r>
    </w:p>
    <w:p w14:paraId="59945680" w14:textId="77777777" w:rsidR="00783FD2" w:rsidRDefault="003421EA" w:rsidP="003421EA">
      <w:pPr>
        <w:rPr>
          <w:b/>
          <w:bCs/>
        </w:rPr>
      </w:pPr>
      <w:r w:rsidRPr="003421EA">
        <w:rPr>
          <w:b/>
          <w:bCs/>
        </w:rPr>
        <w:t>References: </w:t>
      </w:r>
    </w:p>
    <w:p w14:paraId="28552FE3" w14:textId="77777777" w:rsidR="007551B0" w:rsidRPr="007551B0" w:rsidRDefault="007551B0" w:rsidP="007551B0">
      <w:pPr>
        <w:pStyle w:val="Bibliography"/>
        <w:rPr>
          <w:rFonts w:ascii="Aptos" w:hAnsi="Aptos"/>
        </w:rPr>
      </w:pPr>
      <w:r>
        <w:rPr>
          <w:b/>
          <w:bCs/>
        </w:rPr>
        <w:fldChar w:fldCharType="begin"/>
      </w:r>
      <w:r>
        <w:rPr>
          <w:b/>
          <w:bCs/>
        </w:rPr>
        <w:instrText xml:space="preserve"> ADDIN ZOTERO_BIBL {"uncited":[],"omitted":[],"custom":[]} CSL_BIBLIOGRAPHY </w:instrText>
      </w:r>
      <w:r>
        <w:rPr>
          <w:b/>
          <w:bCs/>
        </w:rPr>
        <w:fldChar w:fldCharType="separate"/>
      </w:r>
      <w:r w:rsidRPr="007551B0">
        <w:rPr>
          <w:rFonts w:ascii="Aptos" w:hAnsi="Aptos"/>
        </w:rPr>
        <w:t xml:space="preserve">British Computing Society (2022) </w:t>
      </w:r>
      <w:r w:rsidRPr="007551B0">
        <w:rPr>
          <w:rFonts w:ascii="Aptos" w:hAnsi="Aptos"/>
          <w:i/>
          <w:iCs/>
        </w:rPr>
        <w:t>BCS Code of Conduct for members - Ethics for IT professionals</w:t>
      </w:r>
      <w:r w:rsidRPr="007551B0">
        <w:rPr>
          <w:rFonts w:ascii="Aptos" w:hAnsi="Aptos"/>
        </w:rPr>
        <w:t>. Available at: https://www.bcs.org/membership-and-registrations/become-a-member/bcs-code-of-conduct (Accessed: 31 August 2025).</w:t>
      </w:r>
    </w:p>
    <w:p w14:paraId="671AE5EA" w14:textId="77777777" w:rsidR="007551B0" w:rsidRPr="007551B0" w:rsidRDefault="007551B0" w:rsidP="007551B0">
      <w:pPr>
        <w:pStyle w:val="Bibliography"/>
        <w:rPr>
          <w:rFonts w:ascii="Aptos" w:hAnsi="Aptos"/>
        </w:rPr>
      </w:pPr>
      <w:r w:rsidRPr="007551B0">
        <w:rPr>
          <w:rFonts w:ascii="Aptos" w:hAnsi="Aptos"/>
        </w:rPr>
        <w:t>Business Disability Forum (2025) ‘Disability workforce and pay gap reporting’, 31 July. Available at: https://businessdisabilityforum.org.uk/resource/disability-workforce-reporting/ (Accessed: 31 August 2025).</w:t>
      </w:r>
    </w:p>
    <w:p w14:paraId="0DF322AB" w14:textId="77777777" w:rsidR="007551B0" w:rsidRPr="007551B0" w:rsidRDefault="007551B0" w:rsidP="007551B0">
      <w:pPr>
        <w:pStyle w:val="Bibliography"/>
        <w:rPr>
          <w:rFonts w:ascii="Aptos" w:hAnsi="Aptos"/>
        </w:rPr>
      </w:pPr>
      <w:r w:rsidRPr="007551B0">
        <w:rPr>
          <w:rFonts w:ascii="Aptos" w:hAnsi="Aptos"/>
        </w:rPr>
        <w:t xml:space="preserve">Holmes, K. (2020) </w:t>
      </w:r>
      <w:r w:rsidRPr="007551B0">
        <w:rPr>
          <w:rFonts w:ascii="Aptos" w:hAnsi="Aptos"/>
          <w:i/>
          <w:iCs/>
        </w:rPr>
        <w:t>Mismatch: How Inclusion Shapes Design</w:t>
      </w:r>
      <w:r w:rsidRPr="007551B0">
        <w:rPr>
          <w:rFonts w:ascii="Aptos" w:hAnsi="Aptos"/>
        </w:rPr>
        <w:t>. Cambridge, MA, USA: MIT Press (Simplicity: Design, Technology, Business, Life).</w:t>
      </w:r>
    </w:p>
    <w:p w14:paraId="4385B9BC" w14:textId="77777777" w:rsidR="007551B0" w:rsidRPr="007551B0" w:rsidRDefault="007551B0" w:rsidP="007551B0">
      <w:pPr>
        <w:pStyle w:val="Bibliography"/>
        <w:rPr>
          <w:rFonts w:ascii="Aptos" w:hAnsi="Aptos"/>
        </w:rPr>
      </w:pPr>
      <w:r w:rsidRPr="007551B0">
        <w:rPr>
          <w:rFonts w:ascii="Aptos" w:hAnsi="Aptos"/>
        </w:rPr>
        <w:t xml:space="preserve">UN Department of Economic and Social Affairs (2006) </w:t>
      </w:r>
      <w:r w:rsidRPr="007551B0">
        <w:rPr>
          <w:rFonts w:ascii="Aptos" w:hAnsi="Aptos"/>
          <w:i/>
          <w:iCs/>
        </w:rPr>
        <w:t>Convention on the Rights of Persons with Disabilities (CRPD) | Division for Inclusive Social Development (DISD)</w:t>
      </w:r>
      <w:r w:rsidRPr="007551B0">
        <w:rPr>
          <w:rFonts w:ascii="Aptos" w:hAnsi="Aptos"/>
        </w:rPr>
        <w:t xml:space="preserve">. Available at: </w:t>
      </w:r>
      <w:r w:rsidRPr="007551B0">
        <w:rPr>
          <w:rFonts w:ascii="Aptos" w:hAnsi="Aptos"/>
        </w:rPr>
        <w:lastRenderedPageBreak/>
        <w:t>https://social.desa.un.org/issues/disability/crpd/convention-on-the-rights-of-persons-with-disabilities-crpd (Accessed: 31 August 2025).</w:t>
      </w:r>
    </w:p>
    <w:p w14:paraId="7C33434D" w14:textId="77777777" w:rsidR="007551B0" w:rsidRPr="007551B0" w:rsidRDefault="007551B0" w:rsidP="007551B0">
      <w:pPr>
        <w:pStyle w:val="Bibliography"/>
        <w:rPr>
          <w:rFonts w:ascii="Aptos" w:hAnsi="Aptos"/>
        </w:rPr>
      </w:pPr>
      <w:r w:rsidRPr="007551B0">
        <w:rPr>
          <w:rFonts w:ascii="Aptos" w:hAnsi="Aptos"/>
        </w:rPr>
        <w:t xml:space="preserve">Vanderheiden, G.C. (1991) </w:t>
      </w:r>
      <w:r w:rsidRPr="007551B0">
        <w:rPr>
          <w:rFonts w:ascii="Aptos" w:hAnsi="Aptos"/>
          <w:i/>
          <w:iCs/>
        </w:rPr>
        <w:t>Accessible design of consumer products: guidelines for the design of consumer products to increase their accessibility to people with disabilities or who are aging</w:t>
      </w:r>
      <w:r w:rsidRPr="007551B0">
        <w:rPr>
          <w:rFonts w:ascii="Aptos" w:hAnsi="Aptos"/>
        </w:rPr>
        <w:t xml:space="preserve">. Madison, </w:t>
      </w:r>
      <w:proofErr w:type="spellStart"/>
      <w:r w:rsidRPr="007551B0">
        <w:rPr>
          <w:rFonts w:ascii="Aptos" w:hAnsi="Aptos"/>
        </w:rPr>
        <w:t>Wisc</w:t>
      </w:r>
      <w:proofErr w:type="spellEnd"/>
      <w:r w:rsidRPr="007551B0">
        <w:rPr>
          <w:rFonts w:ascii="Aptos" w:hAnsi="Aptos"/>
        </w:rPr>
        <w:t xml:space="preserve">: Trace Research &amp; Development </w:t>
      </w:r>
      <w:proofErr w:type="spellStart"/>
      <w:r w:rsidRPr="007551B0">
        <w:rPr>
          <w:rFonts w:ascii="Aptos" w:hAnsi="Aptos"/>
        </w:rPr>
        <w:t>Center</w:t>
      </w:r>
      <w:proofErr w:type="spellEnd"/>
      <w:r w:rsidRPr="007551B0">
        <w:rPr>
          <w:rFonts w:ascii="Aptos" w:hAnsi="Aptos"/>
        </w:rPr>
        <w:t>.</w:t>
      </w:r>
    </w:p>
    <w:p w14:paraId="24D8B2FD" w14:textId="12BAC142" w:rsidR="007551B0" w:rsidRPr="00783FD2" w:rsidRDefault="007551B0" w:rsidP="003421EA">
      <w:pPr>
        <w:rPr>
          <w:b/>
          <w:bCs/>
        </w:rPr>
      </w:pPr>
      <w:r>
        <w:rPr>
          <w:b/>
          <w:bCs/>
        </w:rPr>
        <w:fldChar w:fldCharType="end"/>
      </w:r>
    </w:p>
    <w:p w14:paraId="53A26D6C" w14:textId="77777777" w:rsidR="003421EA" w:rsidRPr="000F2EAE" w:rsidRDefault="003421EA">
      <w:pPr>
        <w:rPr>
          <w:b/>
          <w:bCs/>
        </w:rPr>
      </w:pPr>
    </w:p>
    <w:sectPr w:rsidR="003421EA" w:rsidRPr="000F2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AE"/>
    <w:rsid w:val="00056CE1"/>
    <w:rsid w:val="000B47B9"/>
    <w:rsid w:val="000F2EAE"/>
    <w:rsid w:val="003421EA"/>
    <w:rsid w:val="00343142"/>
    <w:rsid w:val="004B205C"/>
    <w:rsid w:val="007551B0"/>
    <w:rsid w:val="00783FD2"/>
    <w:rsid w:val="007F0C5B"/>
    <w:rsid w:val="008356EB"/>
    <w:rsid w:val="00883FCD"/>
    <w:rsid w:val="008A63AD"/>
    <w:rsid w:val="00951D80"/>
    <w:rsid w:val="00A949B8"/>
    <w:rsid w:val="00E73439"/>
    <w:rsid w:val="00F61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2532"/>
  <w15:chartTrackingRefBased/>
  <w15:docId w15:val="{885D2E2F-6DD8-49E8-B07D-4B440C98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EAE"/>
    <w:rPr>
      <w:rFonts w:eastAsiaTheme="majorEastAsia" w:cstheme="majorBidi"/>
      <w:color w:val="272727" w:themeColor="text1" w:themeTint="D8"/>
    </w:rPr>
  </w:style>
  <w:style w:type="paragraph" w:styleId="Title">
    <w:name w:val="Title"/>
    <w:basedOn w:val="Normal"/>
    <w:next w:val="Normal"/>
    <w:link w:val="TitleChar"/>
    <w:uiPriority w:val="10"/>
    <w:qFormat/>
    <w:rsid w:val="000F2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EAE"/>
    <w:pPr>
      <w:spacing w:before="160"/>
      <w:jc w:val="center"/>
    </w:pPr>
    <w:rPr>
      <w:i/>
      <w:iCs/>
      <w:color w:val="404040" w:themeColor="text1" w:themeTint="BF"/>
    </w:rPr>
  </w:style>
  <w:style w:type="character" w:customStyle="1" w:styleId="QuoteChar">
    <w:name w:val="Quote Char"/>
    <w:basedOn w:val="DefaultParagraphFont"/>
    <w:link w:val="Quote"/>
    <w:uiPriority w:val="29"/>
    <w:rsid w:val="000F2EAE"/>
    <w:rPr>
      <w:i/>
      <w:iCs/>
      <w:color w:val="404040" w:themeColor="text1" w:themeTint="BF"/>
    </w:rPr>
  </w:style>
  <w:style w:type="paragraph" w:styleId="ListParagraph">
    <w:name w:val="List Paragraph"/>
    <w:basedOn w:val="Normal"/>
    <w:uiPriority w:val="34"/>
    <w:qFormat/>
    <w:rsid w:val="000F2EAE"/>
    <w:pPr>
      <w:ind w:left="720"/>
      <w:contextualSpacing/>
    </w:pPr>
  </w:style>
  <w:style w:type="character" w:styleId="IntenseEmphasis">
    <w:name w:val="Intense Emphasis"/>
    <w:basedOn w:val="DefaultParagraphFont"/>
    <w:uiPriority w:val="21"/>
    <w:qFormat/>
    <w:rsid w:val="000F2EAE"/>
    <w:rPr>
      <w:i/>
      <w:iCs/>
      <w:color w:val="0F4761" w:themeColor="accent1" w:themeShade="BF"/>
    </w:rPr>
  </w:style>
  <w:style w:type="paragraph" w:styleId="IntenseQuote">
    <w:name w:val="Intense Quote"/>
    <w:basedOn w:val="Normal"/>
    <w:next w:val="Normal"/>
    <w:link w:val="IntenseQuoteChar"/>
    <w:uiPriority w:val="30"/>
    <w:qFormat/>
    <w:rsid w:val="000F2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EAE"/>
    <w:rPr>
      <w:i/>
      <w:iCs/>
      <w:color w:val="0F4761" w:themeColor="accent1" w:themeShade="BF"/>
    </w:rPr>
  </w:style>
  <w:style w:type="character" w:styleId="IntenseReference">
    <w:name w:val="Intense Reference"/>
    <w:basedOn w:val="DefaultParagraphFont"/>
    <w:uiPriority w:val="32"/>
    <w:qFormat/>
    <w:rsid w:val="000F2EAE"/>
    <w:rPr>
      <w:b/>
      <w:bCs/>
      <w:smallCaps/>
      <w:color w:val="0F4761" w:themeColor="accent1" w:themeShade="BF"/>
      <w:spacing w:val="5"/>
    </w:rPr>
  </w:style>
  <w:style w:type="paragraph" w:styleId="Bibliography">
    <w:name w:val="Bibliography"/>
    <w:basedOn w:val="Normal"/>
    <w:next w:val="Normal"/>
    <w:uiPriority w:val="37"/>
    <w:unhideWhenUsed/>
    <w:rsid w:val="000F2EAE"/>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802171">
      <w:bodyDiv w:val="1"/>
      <w:marLeft w:val="0"/>
      <w:marRight w:val="0"/>
      <w:marTop w:val="0"/>
      <w:marBottom w:val="0"/>
      <w:divBdr>
        <w:top w:val="none" w:sz="0" w:space="0" w:color="auto"/>
        <w:left w:val="none" w:sz="0" w:space="0" w:color="auto"/>
        <w:bottom w:val="none" w:sz="0" w:space="0" w:color="auto"/>
        <w:right w:val="none" w:sz="0" w:space="0" w:color="auto"/>
      </w:divBdr>
    </w:div>
    <w:div w:id="1116413841">
      <w:bodyDiv w:val="1"/>
      <w:marLeft w:val="0"/>
      <w:marRight w:val="0"/>
      <w:marTop w:val="0"/>
      <w:marBottom w:val="0"/>
      <w:divBdr>
        <w:top w:val="none" w:sz="0" w:space="0" w:color="auto"/>
        <w:left w:val="none" w:sz="0" w:space="0" w:color="auto"/>
        <w:bottom w:val="none" w:sz="0" w:space="0" w:color="auto"/>
        <w:right w:val="none" w:sz="0" w:space="0" w:color="auto"/>
      </w:divBdr>
    </w:div>
    <w:div w:id="1157300917">
      <w:bodyDiv w:val="1"/>
      <w:marLeft w:val="0"/>
      <w:marRight w:val="0"/>
      <w:marTop w:val="0"/>
      <w:marBottom w:val="0"/>
      <w:divBdr>
        <w:top w:val="none" w:sz="0" w:space="0" w:color="auto"/>
        <w:left w:val="none" w:sz="0" w:space="0" w:color="auto"/>
        <w:bottom w:val="none" w:sz="0" w:space="0" w:color="auto"/>
        <w:right w:val="none" w:sz="0" w:space="0" w:color="auto"/>
      </w:divBdr>
    </w:div>
    <w:div w:id="1320843224">
      <w:bodyDiv w:val="1"/>
      <w:marLeft w:val="0"/>
      <w:marRight w:val="0"/>
      <w:marTop w:val="0"/>
      <w:marBottom w:val="0"/>
      <w:divBdr>
        <w:top w:val="none" w:sz="0" w:space="0" w:color="auto"/>
        <w:left w:val="none" w:sz="0" w:space="0" w:color="auto"/>
        <w:bottom w:val="none" w:sz="0" w:space="0" w:color="auto"/>
        <w:right w:val="none" w:sz="0" w:space="0" w:color="auto"/>
      </w:divBdr>
    </w:div>
    <w:div w:id="1469979379">
      <w:bodyDiv w:val="1"/>
      <w:marLeft w:val="0"/>
      <w:marRight w:val="0"/>
      <w:marTop w:val="0"/>
      <w:marBottom w:val="0"/>
      <w:divBdr>
        <w:top w:val="none" w:sz="0" w:space="0" w:color="auto"/>
        <w:left w:val="none" w:sz="0" w:space="0" w:color="auto"/>
        <w:bottom w:val="none" w:sz="0" w:space="0" w:color="auto"/>
        <w:right w:val="none" w:sz="0" w:space="0" w:color="auto"/>
      </w:divBdr>
    </w:div>
    <w:div w:id="151194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2025-08-31T15:22:00Z</dcterms:created>
  <dcterms:modified xsi:type="dcterms:W3CDTF">2025-08-31T15:31:00Z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id="gMo5HDgm"/&gt;&lt;style id="http://www.zotero.org/styles/harvard-cite-them-right" locale="en-GB" hasBibliography="1" bibliographyStyleHasBeenSet="1"/&gt;&lt;prefs&gt;&lt;pref name="fieldType" value="Field"/&gt;&lt;/prefs</vt:lpwstr>
  </property>
  <property fmtid="{D5CDD505-2E9C-101B-9397-08002B2CF9AE}" pid="3" name="ZOTERO_PREF_2">
    <vt:lpwstr>&gt;&lt;/data&gt;</vt:lpwstr>
  </property>
</Properties>
</file>