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C823D7" w14:textId="502CF9B0" w:rsidR="008356EB" w:rsidRDefault="00F205BD">
      <w:pPr>
        <w:rPr>
          <w:b/>
          <w:bCs/>
          <w:lang w:val="pt-PT"/>
        </w:rPr>
      </w:pPr>
      <w:r w:rsidRPr="00F205BD">
        <w:rPr>
          <w:b/>
          <w:bCs/>
          <w:lang w:val="pt-PT"/>
        </w:rPr>
        <w:t>Summary post</w:t>
      </w:r>
    </w:p>
    <w:p w14:paraId="0A56EF7C" w14:textId="5106CDF7" w:rsidR="00F205BD" w:rsidRPr="00F205BD" w:rsidRDefault="00F205BD" w:rsidP="00F205BD">
      <w:pPr>
        <w:jc w:val="both"/>
      </w:pPr>
      <w:r w:rsidRPr="00F205BD">
        <w:t>My initial analysis of the Corazón case study focused on the tension between the company's positive security practices and the critical flaw of dismissing a discovered vulnerability as "negligible" without comprehensive impact assessment. I argued that while Corazón demonstrated regulatory compliance and researcher collaboration, their risk minimization approach potentially violated BCS Code requirements for professional competence and public interest protection, emphasizing that professional judgment must prioritize patient safety over commercial considerations</w:t>
      </w:r>
      <w:r>
        <w:t xml:space="preserve"> </w:t>
      </w:r>
      <w:r>
        <w:fldChar w:fldCharType="begin"/>
      </w:r>
      <w:r>
        <w:instrText xml:space="preserve"> ADDIN ZOTERO_ITEM CSL_CITATION {"citationID":"PpWRzA42","properties":{"formattedCitation":"(British Computing Society, 2022)","plainCitation":"(British Computing Society, 2022)","noteIndex":0},"citationItems":[{"id":820,"uris":["http://zotero.org/users/local/kYTWq1ZA/items/9P63TSM5"],"itemData":{"id":820,"type":"webpage","title":"BCS Code of Conduct for members - Ethics for IT professionals","URL":"https://www.bcs.org/membership-and-registrations/become-a-member/bcs-code-of-conduct","author":[{"family":"British Computing Society","given":""}],"accessed":{"date-parts":[["2025",8,31]]},"issued":{"date-parts":[["2022",6,8]]}}}],"schema":"https://github.com/citation-style-language/schema/raw/master/csl-citation.json"} </w:instrText>
      </w:r>
      <w:r>
        <w:fldChar w:fldCharType="separate"/>
      </w:r>
      <w:r w:rsidRPr="00F205BD">
        <w:rPr>
          <w:rFonts w:ascii="Aptos" w:hAnsi="Aptos"/>
        </w:rPr>
        <w:t>(British Computing Society, 2022)</w:t>
      </w:r>
      <w:r>
        <w:fldChar w:fldCharType="end"/>
      </w:r>
      <w:r w:rsidRPr="00F205BD">
        <w:t>.</w:t>
      </w:r>
    </w:p>
    <w:p w14:paraId="442E11B5" w14:textId="741A2AA9" w:rsidR="00F205BD" w:rsidRPr="00F205BD" w:rsidRDefault="00F205BD" w:rsidP="00F205BD">
      <w:pPr>
        <w:jc w:val="both"/>
      </w:pPr>
      <w:r>
        <w:t xml:space="preserve">Parallel discussions on other students’ posts </w:t>
      </w:r>
      <w:r w:rsidRPr="00F205BD">
        <w:t xml:space="preserve">significantly reinforced my central arguments. Yousif's analysis supported my emphasis on regulatory compliance and proactive security practices. Julius and Dalbir's contributions questioned whether risk-based approaches are ethically acceptable in life-critical systems. Kieron's comprehensive analysis directly addressed my concerns about "negligible risk" assessments, arguing such terminology is inappropriate for medical devices where even low-probability vulnerabilities can have severe consequences </w:t>
      </w:r>
      <w:r w:rsidR="00046784">
        <w:fldChar w:fldCharType="begin"/>
      </w:r>
      <w:r w:rsidR="00046784">
        <w:instrText xml:space="preserve"> ADDIN ZOTERO_ITEM CSL_CITATION {"citationID":"dI5Saalo","properties":{"formattedCitation":"(Williams and Woodward, 2015)","plainCitation":"(Williams and Woodward, 2015)","noteIndex":0},"citationItems":[{"id":856,"uris":["http://zotero.org/users/local/kYTWq1ZA/items/J7Y8A8EH"],"itemData":{"id":856,"type":"article-journal","abstract":"The increased connectivity to existing computer networks has exposed medical devices to cybersecurity vulnerabilities from which they were previously shielded. For the prevention of cybersecurity incidents, it is important to recognize the complexity of the operational environment as well as to catalog the technical vulnerabilities. Cybersecurity protection is not just a technical issue; it is a richer and more intricate problem to solve. A review of the factors that contribute to such a potentially insecure environment, together with the identification of the vulnerabilities, is important for understanding why these vulnerabilities persist and what the solution space should look like. This multifaceted problem must be viewed from a systemic perspective if adequate protection is to be put in place and patient safety concerns addressed. This requires technical controls, governance, resilience measures, consolidated reporting, context expertise, regulation, and standards. It is evident that a coordinated, proactive approach to address this complex challenge is essential. In the interim, patient safety is under threat.","container-title":"Medical Devices (Auckland, N.Z.)","DOI":"10.2147/MDER.S50048","ISSN":"1179-1470","journalAbbreviation":"Med Devices (Auckl)","note":"PMID: 26229513\nPMCID: PMC4516335","page":"305-316","source":"PubMed Central","title":"Cybersecurity vulnerabilities in medical devices: a complex environment and multifaceted problem","title-short":"Cybersecurity vulnerabilities in medical devices","volume":"8","author":[{"family":"Williams","given":"Patricia AH"},{"family":"Woodward","given":"Andrew J"}],"issued":{"date-parts":[["2015",7,20]]}}}],"schema":"https://github.com/citation-style-language/schema/raw/master/csl-citation.json"} </w:instrText>
      </w:r>
      <w:r w:rsidR="00046784">
        <w:fldChar w:fldCharType="separate"/>
      </w:r>
      <w:r w:rsidR="00046784" w:rsidRPr="00046784">
        <w:rPr>
          <w:rFonts w:ascii="Aptos" w:hAnsi="Aptos"/>
        </w:rPr>
        <w:t>(Williams and Woodward, 2015)</w:t>
      </w:r>
      <w:r w:rsidR="00046784">
        <w:fldChar w:fldCharType="end"/>
      </w:r>
      <w:r w:rsidRPr="00F205BD">
        <w:t xml:space="preserve">. Valentina argued that "negligible" risk is "almost unacceptable" in medical contexts, while Mihail suggested replacing "negligible" with "non-zero" risk terminology, citing research showing that software flaws in implantable devices can lead to direct malfunctions, patient anxiety, and health risks </w:t>
      </w:r>
      <w:r w:rsidR="00046784">
        <w:fldChar w:fldCharType="begin"/>
      </w:r>
      <w:r w:rsidR="00046784">
        <w:instrText xml:space="preserve"> ADDIN ZOTERO_ITEM CSL_CITATION {"citationID":"VJNjzCWM","properties":{"formattedCitation":"(Halperin {\\i{}et al.}, 2008)","plainCitation":"(Halperin et al., 2008)","noteIndex":0},"citationItems":[{"id":858,"uris":["http://zotero.org/users/local/kYTWq1ZA/items/4EDAM9HJ"],"itemData":{"id":858,"type":"article-journal","abstract":"Protecting implantable medical devices against attack without compromising patient health requires balancing security and privacy goals with traditional goals such as safety and utility. Implantable medical devices monitor and treat physiological conditions within the body. These devices - including pacemakers, implantable cardiac defibrillators (ICDs), drug delivery systems, and neurostimulators - can help manage a broad range of ailments, such as cardiac arrhythmia, diabetes, and Parkinson's disease. IMDs' pervasiveness continues to swell, with upward of 25 million US citizens currently reliant on them for life-critical functions. Growth is spurred by geriatric care of the aging baby-boomer generation, and new therapies continually emerge for chronic conditions ranging from pediatric type 1 diabetes to anorgasmia and other sexual dysfunctions. Moreover, the latest IMDs support delivery of telemetry for remote monitoring over long-range, high-bandwidth wireless links, and emerging devices will communicate with other interoperating IMDs.","container-title":"IEEE Pervasive Computing","DOI":"10.1109/MPRV.2008.16","ISSN":"1558-2590","issue":"1","page":"30-39","source":"IEEE Xplore","title":"Security and Privacy for Implantable Medical Devices","volume":"7","author":[{"family":"Halperin","given":"Daniel"},{"family":"Heydt-Benjamin","given":"Thomas S."},{"family":"Fu","given":"Kevin"},{"family":"Kohno","given":"Tadayoshi"},{"family":"Maisel","given":"William H."}],"issued":{"date-parts":[["2008",1]]}}}],"schema":"https://github.com/citation-style-language/schema/raw/master/csl-citation.json"} </w:instrText>
      </w:r>
      <w:r w:rsidR="00046784">
        <w:fldChar w:fldCharType="separate"/>
      </w:r>
      <w:r w:rsidR="00046784" w:rsidRPr="00046784">
        <w:rPr>
          <w:rFonts w:ascii="Aptos" w:hAnsi="Aptos" w:cs="Times New Roman"/>
          <w:kern w:val="0"/>
        </w:rPr>
        <w:t xml:space="preserve">(Halperin </w:t>
      </w:r>
      <w:r w:rsidR="00046784" w:rsidRPr="00046784">
        <w:rPr>
          <w:rFonts w:ascii="Aptos" w:hAnsi="Aptos" w:cs="Times New Roman"/>
          <w:i/>
          <w:iCs/>
          <w:kern w:val="0"/>
        </w:rPr>
        <w:t>et al.</w:t>
      </w:r>
      <w:r w:rsidR="00046784" w:rsidRPr="00046784">
        <w:rPr>
          <w:rFonts w:ascii="Aptos" w:hAnsi="Aptos" w:cs="Times New Roman"/>
          <w:kern w:val="0"/>
        </w:rPr>
        <w:t>, 2008)</w:t>
      </w:r>
      <w:r w:rsidR="00046784">
        <w:fldChar w:fldCharType="end"/>
      </w:r>
      <w:r w:rsidRPr="00F205BD">
        <w:t xml:space="preserve">. This aligns with calls for security-by-design approaches in medical technologies </w:t>
      </w:r>
      <w:r w:rsidR="00046784">
        <w:fldChar w:fldCharType="begin"/>
      </w:r>
      <w:r w:rsidR="00046784">
        <w:instrText xml:space="preserve"> ADDIN ZOTERO_ITEM CSL_CITATION {"citationID":"lUotJ5ii","properties":{"formattedCitation":"(Maisel and Kohno, 2010)","plainCitation":"(Maisel and Kohno, 2010)","noteIndex":0},"citationItems":[{"id":861,"uris":["http://zotero.org/users/local/kYTWq1ZA/items/NFPHCMKP"],"itemData":{"id":861,"type":"article-journal","abstract":"Dr. William Maisel and Tadayoshi Kohno write that the complex and sophisticated features of medical devices have created a susceptibility to security breaches that could compromise the performance of such devices and the safety and privacy of patients. In 1982, the threat to the security of the world's drug supply was recognized when seven people died from taking Tylenol that had purposely been contaminated with cyanide. The scare spawned federal laws, regulatory modifications, and a revolution in drug packaging. These interventions greatly secured the billions of pills, capsules, tablets, and liquids that have since been consumed. Today, medical devices, like the drug supply of a generation ago, face a security vulnerability that must be addressed through regulatory and scientific actions. Most people are familiar with common types of computer-security breaches — those caused by computer viruses, Internet hackers, . . .","container-title":"New England Journal of Medicine","DOI":"10.1056/NEJMp1000745","ISSN":"0028-4793","issue":"13","note":"publisher: Massachusetts Medical Society\n_eprint: https://www.nejm.org/doi/pdf/10.1056/NEJMp1000745","page":"1164-1166","source":"Taylor and Francis+NEJM","title":"Improving the Security and Privacy of Implantable Medical Devices","volume":"362","author":[{"family":"Maisel","given":"William H."},{"family":"Kohno","given":"Tadayoshi"}],"issued":{"date-parts":[["2010",4,1]]}}}],"schema":"https://github.com/citation-style-language/schema/raw/master/csl-citation.json"} </w:instrText>
      </w:r>
      <w:r w:rsidR="00046784">
        <w:fldChar w:fldCharType="separate"/>
      </w:r>
      <w:r w:rsidR="00046784" w:rsidRPr="00046784">
        <w:rPr>
          <w:rFonts w:ascii="Aptos" w:hAnsi="Aptos"/>
        </w:rPr>
        <w:t>(Maisel and Kohno, 2010)</w:t>
      </w:r>
      <w:r w:rsidR="00046784">
        <w:fldChar w:fldCharType="end"/>
      </w:r>
      <w:r w:rsidRPr="00F205BD">
        <w:t>.</w:t>
      </w:r>
    </w:p>
    <w:p w14:paraId="366A264B" w14:textId="2D6DE0CD" w:rsidR="00F205BD" w:rsidRPr="00F205BD" w:rsidRDefault="00F205BD" w:rsidP="00046784">
      <w:pPr>
        <w:jc w:val="both"/>
      </w:pPr>
      <w:r w:rsidRPr="00F205BD">
        <w:t xml:space="preserve">The collective discussion demonstrates </w:t>
      </w:r>
      <w:r w:rsidR="00046784">
        <w:t>strong</w:t>
      </w:r>
      <w:r w:rsidRPr="00F205BD">
        <w:t xml:space="preserve"> convergence around the principle that medical device computing requires fundamentally different ethical standards than general computing applications. The consensus confirms that professional ethics in healthcare technology must prioritize comprehensive vulnerability remediation over cost considerations or optimistic risk assessments, reinforcing that computing professionals in medical contexts bear heightened responsibility for patient safety.</w:t>
      </w:r>
    </w:p>
    <w:p w14:paraId="214BE769" w14:textId="77777777" w:rsidR="00F205BD" w:rsidRPr="00F205BD" w:rsidRDefault="00F205BD" w:rsidP="00F205BD">
      <w:r w:rsidRPr="00F205BD">
        <w:rPr>
          <w:b/>
          <w:bCs/>
        </w:rPr>
        <w:t>References:</w:t>
      </w:r>
    </w:p>
    <w:p w14:paraId="01396780" w14:textId="77777777" w:rsidR="00046784" w:rsidRPr="00046784" w:rsidRDefault="00046784" w:rsidP="00046784">
      <w:pPr>
        <w:pStyle w:val="Bibliography"/>
        <w:rPr>
          <w:rFonts w:ascii="Aptos" w:hAnsi="Aptos"/>
        </w:rPr>
      </w:pPr>
      <w:r>
        <w:fldChar w:fldCharType="begin"/>
      </w:r>
      <w:r>
        <w:instrText xml:space="preserve"> ADDIN ZOTERO_BIBL {"uncited":[],"omitted":[],"custom":[]} CSL_BIBLIOGRAPHY </w:instrText>
      </w:r>
      <w:r>
        <w:fldChar w:fldCharType="separate"/>
      </w:r>
      <w:r w:rsidRPr="00046784">
        <w:rPr>
          <w:rFonts w:ascii="Aptos" w:hAnsi="Aptos"/>
        </w:rPr>
        <w:t xml:space="preserve">British Computing Society (2022) </w:t>
      </w:r>
      <w:r w:rsidRPr="00046784">
        <w:rPr>
          <w:rFonts w:ascii="Aptos" w:hAnsi="Aptos"/>
          <w:i/>
          <w:iCs/>
        </w:rPr>
        <w:t>BCS Code of Conduct for members - Ethics for IT professionals</w:t>
      </w:r>
      <w:r w:rsidRPr="00046784">
        <w:rPr>
          <w:rFonts w:ascii="Aptos" w:hAnsi="Aptos"/>
        </w:rPr>
        <w:t>. Available at: https://www.bcs.org/membership-and-registrations/become-a-member/bcs-code-of-conduct (Accessed: 31 August 2025).</w:t>
      </w:r>
    </w:p>
    <w:p w14:paraId="12443A19" w14:textId="77777777" w:rsidR="00046784" w:rsidRPr="00046784" w:rsidRDefault="00046784" w:rsidP="00046784">
      <w:pPr>
        <w:pStyle w:val="Bibliography"/>
        <w:rPr>
          <w:rFonts w:ascii="Aptos" w:hAnsi="Aptos"/>
        </w:rPr>
      </w:pPr>
      <w:r w:rsidRPr="00046784">
        <w:rPr>
          <w:rFonts w:ascii="Aptos" w:hAnsi="Aptos"/>
        </w:rPr>
        <w:t xml:space="preserve">Halperin, D. </w:t>
      </w:r>
      <w:r w:rsidRPr="00046784">
        <w:rPr>
          <w:rFonts w:ascii="Aptos" w:hAnsi="Aptos"/>
          <w:i/>
          <w:iCs/>
        </w:rPr>
        <w:t>et al.</w:t>
      </w:r>
      <w:r w:rsidRPr="00046784">
        <w:rPr>
          <w:rFonts w:ascii="Aptos" w:hAnsi="Aptos"/>
        </w:rPr>
        <w:t xml:space="preserve"> (2008) ‘Security and Privacy for Implantable Medical Devices’, </w:t>
      </w:r>
      <w:r w:rsidRPr="00046784">
        <w:rPr>
          <w:rFonts w:ascii="Aptos" w:hAnsi="Aptos"/>
          <w:i/>
          <w:iCs/>
        </w:rPr>
        <w:t>IEEE Pervasive Computing</w:t>
      </w:r>
      <w:r w:rsidRPr="00046784">
        <w:rPr>
          <w:rFonts w:ascii="Aptos" w:hAnsi="Aptos"/>
        </w:rPr>
        <w:t>, 7(1), pp. 30–39. Available at: https://doi.org/10.1109/MPRV.2008.16.</w:t>
      </w:r>
    </w:p>
    <w:p w14:paraId="5E758515" w14:textId="77777777" w:rsidR="00046784" w:rsidRPr="00046784" w:rsidRDefault="00046784" w:rsidP="00046784">
      <w:pPr>
        <w:pStyle w:val="Bibliography"/>
        <w:rPr>
          <w:rFonts w:ascii="Aptos" w:hAnsi="Aptos"/>
        </w:rPr>
      </w:pPr>
      <w:r w:rsidRPr="00046784">
        <w:rPr>
          <w:rFonts w:ascii="Aptos" w:hAnsi="Aptos"/>
        </w:rPr>
        <w:t xml:space="preserve">Maisel, W.H. and Kohno, T. (2010) ‘Improving the Security and Privacy of Implantable Medical Devices’, </w:t>
      </w:r>
      <w:r w:rsidRPr="00046784">
        <w:rPr>
          <w:rFonts w:ascii="Aptos" w:hAnsi="Aptos"/>
          <w:i/>
          <w:iCs/>
        </w:rPr>
        <w:t>New England Journal of Medicine</w:t>
      </w:r>
      <w:r w:rsidRPr="00046784">
        <w:rPr>
          <w:rFonts w:ascii="Aptos" w:hAnsi="Aptos"/>
        </w:rPr>
        <w:t>, 362(13), pp. 1164–1166. Available at: https://doi.org/10.1056/NEJMp1000745.</w:t>
      </w:r>
    </w:p>
    <w:p w14:paraId="5D7F5E37" w14:textId="77777777" w:rsidR="00046784" w:rsidRPr="00046784" w:rsidRDefault="00046784" w:rsidP="00046784">
      <w:pPr>
        <w:pStyle w:val="Bibliography"/>
        <w:rPr>
          <w:rFonts w:ascii="Aptos" w:hAnsi="Aptos"/>
        </w:rPr>
      </w:pPr>
      <w:r w:rsidRPr="00046784">
        <w:rPr>
          <w:rFonts w:ascii="Aptos" w:hAnsi="Aptos"/>
        </w:rPr>
        <w:t xml:space="preserve">Williams, P.A. and Woodward, A.J. (2015) ‘Cybersecurity vulnerabilities in medical devices: a complex environment and multifaceted problem’, </w:t>
      </w:r>
      <w:r w:rsidRPr="00046784">
        <w:rPr>
          <w:rFonts w:ascii="Aptos" w:hAnsi="Aptos"/>
          <w:i/>
          <w:iCs/>
        </w:rPr>
        <w:t>Medical Devices (Auckland, N.Z.)</w:t>
      </w:r>
      <w:r w:rsidRPr="00046784">
        <w:rPr>
          <w:rFonts w:ascii="Aptos" w:hAnsi="Aptos"/>
        </w:rPr>
        <w:t>, 8, pp. 305–316. Available at: https://doi.org/10.2147/MDER.S50048.</w:t>
      </w:r>
    </w:p>
    <w:p w14:paraId="0E9B6AA0" w14:textId="67C6402B" w:rsidR="00F205BD" w:rsidRPr="00F205BD" w:rsidRDefault="00046784">
      <w:r>
        <w:fldChar w:fldCharType="end"/>
      </w:r>
    </w:p>
    <w:sectPr w:rsidR="00F205BD" w:rsidRPr="00F205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5BD"/>
    <w:rsid w:val="00046784"/>
    <w:rsid w:val="00056CE1"/>
    <w:rsid w:val="004B205C"/>
    <w:rsid w:val="007F0C5B"/>
    <w:rsid w:val="008356EB"/>
    <w:rsid w:val="00883FCD"/>
    <w:rsid w:val="008A63AD"/>
    <w:rsid w:val="00951D80"/>
    <w:rsid w:val="00E73439"/>
    <w:rsid w:val="00F205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9241E"/>
  <w15:chartTrackingRefBased/>
  <w15:docId w15:val="{C58270E2-4086-44A1-8B50-56E25B980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05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05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05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05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05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05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05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05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05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5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05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05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05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05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05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05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05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05BD"/>
    <w:rPr>
      <w:rFonts w:eastAsiaTheme="majorEastAsia" w:cstheme="majorBidi"/>
      <w:color w:val="272727" w:themeColor="text1" w:themeTint="D8"/>
    </w:rPr>
  </w:style>
  <w:style w:type="paragraph" w:styleId="Title">
    <w:name w:val="Title"/>
    <w:basedOn w:val="Normal"/>
    <w:next w:val="Normal"/>
    <w:link w:val="TitleChar"/>
    <w:uiPriority w:val="10"/>
    <w:qFormat/>
    <w:rsid w:val="00F205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05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05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05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05BD"/>
    <w:pPr>
      <w:spacing w:before="160"/>
      <w:jc w:val="center"/>
    </w:pPr>
    <w:rPr>
      <w:i/>
      <w:iCs/>
      <w:color w:val="404040" w:themeColor="text1" w:themeTint="BF"/>
    </w:rPr>
  </w:style>
  <w:style w:type="character" w:customStyle="1" w:styleId="QuoteChar">
    <w:name w:val="Quote Char"/>
    <w:basedOn w:val="DefaultParagraphFont"/>
    <w:link w:val="Quote"/>
    <w:uiPriority w:val="29"/>
    <w:rsid w:val="00F205BD"/>
    <w:rPr>
      <w:i/>
      <w:iCs/>
      <w:color w:val="404040" w:themeColor="text1" w:themeTint="BF"/>
    </w:rPr>
  </w:style>
  <w:style w:type="paragraph" w:styleId="ListParagraph">
    <w:name w:val="List Paragraph"/>
    <w:basedOn w:val="Normal"/>
    <w:uiPriority w:val="34"/>
    <w:qFormat/>
    <w:rsid w:val="00F205BD"/>
    <w:pPr>
      <w:ind w:left="720"/>
      <w:contextualSpacing/>
    </w:pPr>
  </w:style>
  <w:style w:type="character" w:styleId="IntenseEmphasis">
    <w:name w:val="Intense Emphasis"/>
    <w:basedOn w:val="DefaultParagraphFont"/>
    <w:uiPriority w:val="21"/>
    <w:qFormat/>
    <w:rsid w:val="00F205BD"/>
    <w:rPr>
      <w:i/>
      <w:iCs/>
      <w:color w:val="0F4761" w:themeColor="accent1" w:themeShade="BF"/>
    </w:rPr>
  </w:style>
  <w:style w:type="paragraph" w:styleId="IntenseQuote">
    <w:name w:val="Intense Quote"/>
    <w:basedOn w:val="Normal"/>
    <w:next w:val="Normal"/>
    <w:link w:val="IntenseQuoteChar"/>
    <w:uiPriority w:val="30"/>
    <w:qFormat/>
    <w:rsid w:val="00F205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05BD"/>
    <w:rPr>
      <w:i/>
      <w:iCs/>
      <w:color w:val="0F4761" w:themeColor="accent1" w:themeShade="BF"/>
    </w:rPr>
  </w:style>
  <w:style w:type="character" w:styleId="IntenseReference">
    <w:name w:val="Intense Reference"/>
    <w:basedOn w:val="DefaultParagraphFont"/>
    <w:uiPriority w:val="32"/>
    <w:qFormat/>
    <w:rsid w:val="00F205BD"/>
    <w:rPr>
      <w:b/>
      <w:bCs/>
      <w:smallCaps/>
      <w:color w:val="0F4761" w:themeColor="accent1" w:themeShade="BF"/>
      <w:spacing w:val="5"/>
    </w:rPr>
  </w:style>
  <w:style w:type="paragraph" w:styleId="Bibliography">
    <w:name w:val="Bibliography"/>
    <w:basedOn w:val="Normal"/>
    <w:next w:val="Normal"/>
    <w:uiPriority w:val="37"/>
    <w:unhideWhenUsed/>
    <w:rsid w:val="00046784"/>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6523786">
      <w:bodyDiv w:val="1"/>
      <w:marLeft w:val="0"/>
      <w:marRight w:val="0"/>
      <w:marTop w:val="0"/>
      <w:marBottom w:val="0"/>
      <w:divBdr>
        <w:top w:val="none" w:sz="0" w:space="0" w:color="auto"/>
        <w:left w:val="none" w:sz="0" w:space="0" w:color="auto"/>
        <w:bottom w:val="none" w:sz="0" w:space="0" w:color="auto"/>
        <w:right w:val="none" w:sz="0" w:space="0" w:color="auto"/>
      </w:divBdr>
    </w:div>
    <w:div w:id="1601140450">
      <w:bodyDiv w:val="1"/>
      <w:marLeft w:val="0"/>
      <w:marRight w:val="0"/>
      <w:marTop w:val="0"/>
      <w:marBottom w:val="0"/>
      <w:divBdr>
        <w:top w:val="none" w:sz="0" w:space="0" w:color="auto"/>
        <w:left w:val="none" w:sz="0" w:space="0" w:color="auto"/>
        <w:bottom w:val="none" w:sz="0" w:space="0" w:color="auto"/>
        <w:right w:val="none" w:sz="0" w:space="0" w:color="auto"/>
      </w:divBdr>
    </w:div>
    <w:div w:id="1949697249">
      <w:bodyDiv w:val="1"/>
      <w:marLeft w:val="0"/>
      <w:marRight w:val="0"/>
      <w:marTop w:val="0"/>
      <w:marBottom w:val="0"/>
      <w:divBdr>
        <w:top w:val="none" w:sz="0" w:space="0" w:color="auto"/>
        <w:left w:val="none" w:sz="0" w:space="0" w:color="auto"/>
        <w:bottom w:val="none" w:sz="0" w:space="0" w:color="auto"/>
        <w:right w:val="none" w:sz="0" w:space="0" w:color="auto"/>
      </w:divBdr>
    </w:div>
    <w:div w:id="1974404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1451</Words>
  <Characters>8276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Amorim, Guilherme</dc:creator>
  <cp:keywords/>
  <dc:description/>
  <cp:lastModifiedBy>Amorim, Guilherme</cp:lastModifiedBy>
  <cp:revision>1</cp:revision>
  <dcterms:created xsi:type="dcterms:W3CDTF">2025-08-31T15:37:00Z</dcterms:created>
  <dcterms:modified xsi:type="dcterms:W3CDTF">2025-08-31T15:46:00Z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id="FwSaiHnf"/&gt;&lt;style id="http://www.zotero.org/styles/harvard-cite-them-right" locale="en-GB" hasBibliography="1" bibliographyStyleHasBeenSet="1"/&gt;&lt;prefs&gt;&lt;pref name="fieldType" value="Field"/&gt;&lt;/prefs</vt:lpwstr>
  </property>
  <property fmtid="{D5CDD505-2E9C-101B-9397-08002B2CF9AE}" pid="3" name="ZOTERO_PREF_2">
    <vt:lpwstr>&gt;&lt;/data&gt;</vt:lpwstr>
  </property>
</Properties>
</file>