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SWOT analysis of Starting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Sports focused image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Healthy kids and community image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 program that can continue online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spokespeople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Known track record for aiding many in need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website/platform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effectiveness of the program as a result of COVID-19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donors are available or many are less willing to donate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Limited reach to those who need this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Many members have numerous connections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revolutionise the program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innovate incentives to increase donors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less donations going around, other charities will be vying for the same corporate donors.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COVID-19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SWOT of Charity Bounce: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Strong Sports focused image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Healthy kids and community image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Flexible programs that can continue online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Great spokespeople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Great community relationships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Many members have numerous 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Lost many programs to COVID-19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Reduced effectiveness as a result of COVID-19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Less donors are available or many are less willing to donate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Lost Government grants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operations unsuitable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revolutionise the many programs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innovate incentives to increase donors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vaccination rates in NSW ensuring restrictions are lifted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With less donations going around, other charities will be vying for the same corporate donors.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COVID-19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