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Dúvidas</w:t>
      </w:r>
      <w:r>
        <w:t xml:space="preserve"> </w:t>
      </w:r>
      <w:r>
        <w:t xml:space="preserve">e</w:t>
      </w:r>
      <w:r>
        <w:t xml:space="preserve"> </w:t>
      </w:r>
      <w:r>
        <w:t xml:space="preserve">impressões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20" w:name="teoria-sraffiana"/>
      <w:r>
        <w:t xml:space="preserve">Teoria Sraffiana</w:t>
      </w:r>
      <w:bookmarkEnd w:id="20"/>
    </w:p>
    <w:p>
      <w:pPr>
        <w:numPr>
          <w:numId w:val="1001"/>
          <w:ilvl w:val="0"/>
        </w:numPr>
      </w:pPr>
      <w:r>
        <w:t xml:space="preserve">[</w:t>
      </w:r>
      <m:oMath>
        <m:r>
          <m:t>⊠</m:t>
        </m:r>
      </m:oMath>
      <w:r>
        <w:t xml:space="preserve">] Seguindo o raciocínio de Amadeo (1986), fora do pleno-emprego,</w:t>
      </w:r>
      <w:r>
        <w:t xml:space="preserve"> </w:t>
      </w:r>
      <w:r>
        <w:t xml:space="preserve">a economia não está operando sob a curva salário-lucro. Se isso</w:t>
      </w:r>
      <w:r>
        <w:t xml:space="preserve"> </w:t>
      </w:r>
      <w:r>
        <w:t xml:space="preserve">estiver correto, para o modelo do supermultiplicador permitir que a</w:t>
      </w:r>
      <w:r>
        <w:t xml:space="preserve"> </w:t>
      </w:r>
      <w:r>
        <w:t xml:space="preserve">distribuição seja determinada exogenamente por uma teoria sraffiana,</w:t>
      </w:r>
      <w:r>
        <w:t xml:space="preserve"> </w:t>
      </w:r>
      <w:r>
        <w:t xml:space="preserve">se faz necessário que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ou para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t>≠</m:t>
        </m:r>
        <m:r>
          <m:t>1</m:t>
        </m:r>
      </m:oMath>
      <w:r>
        <w:t xml:space="preserve"> </w:t>
      </w:r>
      <w:r>
        <w:t xml:space="preserve">(ex: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t>=</m:t>
        </m:r>
        <m:r>
          <m:t>0.8</m:t>
        </m:r>
      </m:oMath>
      <w:r>
        <w:t xml:space="preserve">) isso ainda é válido?</w:t>
      </w:r>
    </w:p>
    <w:p>
      <w:pPr>
        <w:pStyle w:val="BlockText"/>
        <w:numPr>
          <w:numId w:val="1000"/>
          <w:ilvl w:val="0"/>
        </w:numPr>
      </w:pPr>
      <w:r>
        <w:rPr>
          <w:b/>
        </w:rPr>
        <w:t xml:space="preserve">Lucas:</w:t>
      </w:r>
      <w:r>
        <w:t xml:space="preserve"> </w:t>
      </w:r>
      <w:r>
        <w:t xml:space="preserve">O Amadeo não está correto nesse ponto. Para</w:t>
      </w:r>
      <w:r>
        <w:t xml:space="preserve"> </w:t>
      </w:r>
      <w:r>
        <w:t xml:space="preserve">operar sobre a curva salário-lucro é necessário que o . No modelo do supermultiplicador, esse grau</w:t>
      </w:r>
      <w:r>
        <w:t xml:space="preserve"> </w:t>
      </w:r>
      <w:r>
        <w:t xml:space="preserve">ocorre independente de haver ou não pleno emprego.</w:t>
      </w:r>
    </w:p>
    <w:p>
      <w:pPr>
        <w:pStyle w:val="BlockText"/>
        <w:numPr>
          <w:numId w:val="1000"/>
          <w:ilvl w:val="0"/>
        </w:numPr>
      </w:pPr>
      <w:r>
        <w:t xml:space="preserve">Além disso, para a distribuição (entendida como wage-share e profit-share) ser determinada exogenamente não é necessário estar na curva-salário lucro. A curva salário lucro representa uma relação entre salário real e taxa real de lucro. Um exemplo disso, é o modelo kaleckiano. As parcelas distributivas são exógenas (determinadas pelo mark-up), mas a economia não opera em cima da curva salário-lucro, pq a (e qualquer uma, determinada pelos hl</w:t>
      </w:r>
      <w:r>
        <w:t xml:space="preserve">gastos dos capitalitas</w:t>
      </w:r>
      <w:r>
        <w:t xml:space="preserve">).</w:t>
      </w:r>
    </w:p>
    <w:p>
      <w:pPr>
        <w:pStyle w:val="BlockText"/>
        <w:numPr>
          <w:numId w:val="1000"/>
          <w:ilvl w:val="0"/>
        </w:numPr>
      </w:pPr>
      <w:r>
        <w:t xml:space="preserve">Esse é o tema daquela aula do curso de macro que compara os diferente fechamentos. Uma boa bibliografia para isso é a dissertação de mestrado do Franklin (já te passei?)</w:t>
      </w:r>
    </w:p>
    <w:p>
      <w:pPr>
        <w:numPr>
          <w:numId w:val="1003"/>
          <w:ilvl w:val="2"/>
        </w:numPr>
      </w:pPr>
      <w:r>
        <w:rPr>
          <w:b/>
        </w:rPr>
        <w:t xml:space="preserve">Gabriel:</w:t>
      </w:r>
      <w:r>
        <w:t xml:space="preserve"> </w:t>
      </w:r>
      <w:r>
        <w:t xml:space="preserve">Me interessei, irei ler.</w:t>
      </w:r>
    </w:p>
    <w:p>
      <w:pPr>
        <w:numPr>
          <w:numId w:val="1001"/>
          <w:ilvl w:val="0"/>
        </w:numPr>
      </w:pPr>
      <w:r>
        <w:t xml:space="preserve">[</w:t>
      </w:r>
      <m:oMath>
        <m:r>
          <m:t>⊠</m:t>
        </m:r>
      </m:oMath>
      <w:r>
        <w:t xml:space="preserve">] Pelo pouco que li sobre a teoria de Sraffa, o lucro é a</w:t>
      </w:r>
      <w:r>
        <w:t xml:space="preserve"> </w:t>
      </w:r>
      <w:r>
        <w:t xml:space="preserve">variável independente que não é determinada pelos preços relativos nem</w:t>
      </w:r>
      <w:r>
        <w:t xml:space="preserve"> </w:t>
      </w:r>
      <w:r>
        <w:t xml:space="preserve">pela esfera da produção, mas sim por outros determinantes tal como a</w:t>
      </w:r>
      <w:r>
        <w:t xml:space="preserve"> </w:t>
      </w:r>
      <w:r>
        <w:t xml:space="preserve">taxa de juros. Se isso estiver correto, a negação do paradoxo dos</w:t>
      </w:r>
      <w:r>
        <w:t xml:space="preserve"> </w:t>
      </w:r>
      <w:r>
        <w:t xml:space="preserve">custos (entendido como uma redução do</w:t>
      </w:r>
      <w:r>
        <w:t xml:space="preserve"> </w:t>
      </w:r>
      <w:r>
        <w:rPr>
          <w:i/>
        </w:rPr>
        <w:t xml:space="preserve">mark-up</w:t>
      </w:r>
      <w:r>
        <w:t xml:space="preserve"> </w:t>
      </w:r>
      <w:r>
        <w:t xml:space="preserve">gerar aumento na ) é uma consequência lógica se adotar uma abordagem sraffiana?</w:t>
      </w:r>
      <w:r>
        <w:t xml:space="preserve"> </w:t>
      </w:r>
      <w:r>
        <w:t xml:space="preserve">Em outras palavras, se a determinação dos lucros não depender dos</w:t>
      </w:r>
      <w:r>
        <w:t xml:space="preserve"> </w:t>
      </w:r>
      <w:r>
        <w:t xml:space="preserve">preços, o paradoxo dos custos deixa de ser paradoxal?</w:t>
      </w:r>
    </w:p>
    <w:p>
      <w:pPr>
        <w:pStyle w:val="BlockText"/>
      </w:pPr>
      <w:r>
        <w:rPr>
          <w:b/>
        </w:rPr>
        <w:t xml:space="preserve">Lucas:</w:t>
      </w:r>
      <w:r>
        <w:t xml:space="preserve"> </w:t>
      </w:r>
      <w:r>
        <w:t xml:space="preserve">Essa é uma das interpretações da teoria do Sraffa, seguida pelo Pivetti, Garegnani e Franklin. Existem outras interpretações.</w:t>
      </w:r>
    </w:p>
    <w:p>
      <w:pPr>
        <w:pStyle w:val="BlockText"/>
      </w:pPr>
      <w:r>
        <w:t xml:space="preserve">Dito isso, não entendi muito bem o seu ponto. O que vc quer dizer por</w:t>
      </w:r>
      <w:r>
        <w:t xml:space="preserve"> </w:t>
      </w:r>
      <w:r>
        <w:t xml:space="preserve">“</w:t>
      </w:r>
      <w:r>
        <w:t xml:space="preserve">aumento nos lucros</w:t>
      </w:r>
      <w:r>
        <w:t xml:space="preserve">”</w:t>
      </w:r>
      <w:r>
        <w:t xml:space="preserve">? é a</w:t>
      </w:r>
      <w:r>
        <w:t xml:space="preserve"> </w:t>
      </w:r>
      <w:r>
        <w:rPr>
          <w:b/>
        </w:rPr>
        <w:t xml:space="preserve">massa</w:t>
      </w:r>
      <w:r>
        <w:t xml:space="preserve">, a taxa ou a margem de lucro? Além disso, vc está pensando nessa discussão em</w:t>
      </w:r>
      <w:r>
        <w:t xml:space="preserve"> </w:t>
      </w:r>
      <w:r>
        <w:rPr>
          <w:b/>
        </w:rPr>
        <w:t xml:space="preserve">nível</w:t>
      </w:r>
      <w:r>
        <w:t xml:space="preserve"> </w:t>
      </w:r>
      <w:r>
        <w:t xml:space="preserve">ou em taxa de crescimento?</w:t>
      </w:r>
    </w:p>
    <w:p>
      <w:pPr>
        <w:numPr>
          <w:numId w:val="1005"/>
          <w:ilvl w:val="1"/>
        </w:numPr>
      </w:pPr>
      <w:r>
        <w:rPr>
          <w:b/>
        </w:rPr>
        <w:t xml:space="preserve">Gabriel:</w:t>
      </w:r>
      <w:r>
        <w:t xml:space="preserve"> </w:t>
      </w:r>
      <w:r>
        <w:t xml:space="preserve">Estava pensando em aumentos na</w:t>
      </w:r>
      <w:r>
        <w:t xml:space="preserve"> </w:t>
      </w:r>
      <w:r>
        <w:rPr>
          <w:b/>
        </w:rPr>
        <w:t xml:space="preserve">massa</w:t>
      </w:r>
      <w:r>
        <w:t xml:space="preserve"> </w:t>
      </w:r>
      <w:r>
        <w:t xml:space="preserve">de lucros para uma economia em nível. Ficou mais claro que o paradoxo dos custos se mantém em nível para ambos.</w:t>
      </w:r>
    </w:p>
    <w:p>
      <w:pPr>
        <w:pStyle w:val="BlockText"/>
      </w:pPr>
      <w:r>
        <w:t xml:space="preserve">Se estamos falando da economia em nível (determinação do nível de renda, modelo keynesiano simples, por exemplo), tanto para sraffiano como para kaleckianos vale o</w:t>
      </w:r>
      <w:r>
        <w:t xml:space="preserve"> </w:t>
      </w:r>
      <w:r>
        <w:t xml:space="preserve">“</w:t>
      </w:r>
      <w:r>
        <w:t xml:space="preserve">paradoxo dos custos</w:t>
      </w:r>
      <w:r>
        <w:t xml:space="preserve">”</w:t>
      </w:r>
      <w:r>
        <w:t xml:space="preserve">: aumento do salário real (queda do mark-up) geral aumento do nível do produto. Note que se a prdonesão marginal a consumir dos trabalhadores for 1 e a dos capitalistas for zero, a massa e a taxa de lucros não se altera.</w:t>
      </w:r>
    </w:p>
    <w:p>
      <w:pPr>
        <w:pStyle w:val="BlockText"/>
      </w:pPr>
      <w:r>
        <w:t xml:space="preserve">Em uma economia em crescimento, os kaleckianos dizem que existe também esse paradoxo dos custos. Nessa situação, o paradoxo dos custo ocorre quando um aumento do salário real gera aumento da taxa de crescimento da economia. Isso só ocorre nos modelos neo-kaleckianos por conta de uma característica específica da deles, que é dependente do grau de utilização. Se o investimento fosse plenamente exógeno, mudanças distributivas não afetariam a taxa de crescimento. Ou seja, .</w:t>
      </w:r>
    </w:p>
    <w:p>
      <w:pPr>
        <w:pStyle w:val="Heading1"/>
      </w:pPr>
      <w:bookmarkStart w:id="21" w:name="capitulo-teorico"/>
      <w:r>
        <w:t xml:space="preserve">Capítulo teórico</w:t>
      </w:r>
      <w:bookmarkEnd w:id="21"/>
    </w:p>
    <w:p>
      <w:pPr>
        <w:pStyle w:val="Heading2"/>
      </w:pPr>
      <w:bookmarkStart w:id="22" w:name="modelos-neo-kaleckianos"/>
      <w:r>
        <w:t xml:space="preserve">Modelos Neo-Kaleckianos</w:t>
      </w:r>
      <w:bookmarkEnd w:id="22"/>
    </w:p>
    <w:p>
      <w:pPr>
        <w:numPr>
          <w:numId w:val="1006"/>
          <w:ilvl w:val="0"/>
        </w:numPr>
      </w:pPr>
      <w:r>
        <w:t xml:space="preserve">[</w:t>
      </w:r>
      <m:oMath>
        <m:r>
          <m:t>⊠</m:t>
        </m:r>
      </m:oMath>
      <w:r>
        <w:t xml:space="preserve">] No</w:t>
      </w:r>
      <w:r>
        <w:t xml:space="preserve"> </w:t>
      </w:r>
      <w:r>
        <w:rPr>
          <w:i/>
        </w:rPr>
        <w:t xml:space="preserve">Steady State</w:t>
      </w:r>
      <w:r>
        <w:t xml:space="preserve"> </w:t>
      </w:r>
      <w:r>
        <w:t xml:space="preserve">em que a taxa de crescimento do estoque</w:t>
      </w:r>
      <w:r>
        <w:t xml:space="preserve"> </w:t>
      </w:r>
      <w:r>
        <w:t xml:space="preserve">de capital e taxa de crescimento do produto se igualam, qual a taxa de</w:t>
      </w:r>
      <w:r>
        <w:t xml:space="preserve"> </w:t>
      </w:r>
      <w:r>
        <w:t xml:space="preserve">crescimento do grau de utilização da capacidade?</w:t>
      </w:r>
    </w:p>
    <w:p>
      <w:pPr>
        <w:numPr>
          <w:numId w:val="1007"/>
          <w:ilvl w:val="1"/>
        </w:numPr>
      </w:pPr>
      <w:r>
        <w:t xml:space="preserve">[</w:t>
      </w:r>
      <m:oMath>
        <m:r>
          <m:t>⊠</m:t>
        </m:r>
      </m:oMath>
      <w:r>
        <w:t xml:space="preserve">] Se nula, este grau de utilização de longo prazo equivale ao</w:t>
      </w:r>
      <w:r>
        <w:t xml:space="preserve"> </w:t>
      </w:r>
      <w:r>
        <w:t xml:space="preserve">normal?</w:t>
      </w:r>
    </w:p>
    <w:p>
      <w:pPr>
        <w:numPr>
          <w:numId w:val="1007"/>
          <w:ilvl w:val="1"/>
        </w:numPr>
      </w:pPr>
      <w:r>
        <w:t xml:space="preserve">Se não for nulo, a economia</w:t>
      </w:r>
      <w:r>
        <w:t xml:space="preserve"> </w:t>
      </w:r>
      <w:r>
        <w:rPr>
          <w:b/>
        </w:rPr>
        <w:t xml:space="preserve">não</w:t>
      </w:r>
      <w:r>
        <w:t xml:space="preserve"> </w:t>
      </w:r>
      <w:r>
        <w:t xml:space="preserve">estará no</w:t>
      </w:r>
      <w:r>
        <w:t xml:space="preserve"> </w:t>
      </w:r>
      <w:r>
        <w:rPr>
          <w:i/>
        </w:rPr>
        <w:t xml:space="preserve">Steady</w:t>
      </w:r>
      <w:r>
        <w:rPr>
          <w:i/>
        </w:rP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(Corrigido)</w:t>
      </w:r>
    </w:p>
    <w:p>
      <w:pPr>
        <w:numPr>
          <w:numId w:val="1006"/>
          <w:ilvl w:val="0"/>
        </w:numPr>
      </w:pPr>
      <w:r>
        <w:t xml:space="preserve">[</w:t>
      </w:r>
      <m:oMath>
        <m:r>
          <m:t>⊠</m:t>
        </m:r>
      </m:oMath>
      <w:r>
        <w:t xml:space="preserve">] Se esses modelos baseiam a distribuição funcional da renda à</w:t>
      </w:r>
      <w:r>
        <w:t xml:space="preserve"> </w:t>
      </w:r>
      <w:r>
        <w:t xml:space="preserve">uma estrutura de mercado oligopolizada (</w:t>
      </w:r>
      <w:r>
        <w:rPr>
          <w:i/>
        </w:rPr>
        <w:t xml:space="preserve">mark-up</w:t>
      </w:r>
      <w:r>
        <w:t xml:space="preserve"> </w:t>
      </w:r>
      <w:r>
        <w:t xml:space="preserve">não-nulo)</w:t>
      </w:r>
      <w:r>
        <w:t xml:space="preserve"> </w:t>
      </w:r>
      <w:r>
        <w:t xml:space="preserve">então, no limite:</w:t>
      </w:r>
    </w:p>
    <w:p>
      <w:pPr>
        <w:numPr>
          <w:numId w:val="1008"/>
          <w:ilvl w:val="1"/>
        </w:numPr>
      </w:pPr>
      <w:r>
        <w:t xml:space="preserve">[</w:t>
      </w:r>
      <m:oMath>
        <m:r>
          <m:t>⊠</m:t>
        </m:r>
      </m:oMath>
      <w:r>
        <w:t xml:space="preserve">] Em uma economia concorrencial, a participação dos lucros na</w:t>
      </w:r>
      <w:r>
        <w:t xml:space="preserve"> </w:t>
      </w:r>
      <w:r>
        <w:t xml:space="preserve">renda é nula? O conflito distributivo é amenizado na medida em que</w:t>
      </w:r>
      <w:r>
        <w:t xml:space="preserve"> </w:t>
      </w:r>
      <w:r>
        <w:t xml:space="preserve">estruturas de mercado não-concorrenciais são reguladas?</w:t>
      </w:r>
    </w:p>
    <w:p>
      <w:pPr>
        <w:numPr>
          <w:numId w:val="1008"/>
          <w:ilvl w:val="1"/>
        </w:numPr>
      </w:pPr>
      <w:r>
        <w:t xml:space="preserve">[</w:t>
      </w:r>
      <m:oMath>
        <m:r>
          <m:t>⊠</m:t>
        </m:r>
      </m:oMath>
      <w:r>
        <w:t xml:space="preserve">] O argumento sempre recai sobre o poder</w:t>
      </w:r>
      <w:r>
        <w:t xml:space="preserve"> </w:t>
      </w:r>
      <w:r>
        <w:t xml:space="preserve">de barganha ao longo das negociações entre os entes institucionais? Não há margem para o conflito distributivo ser internalizado na</w:t>
      </w:r>
      <w:r>
        <w:t xml:space="preserve"> </w:t>
      </w:r>
      <w:r>
        <w:t xml:space="preserve">política econômica?</w:t>
      </w:r>
    </w:p>
    <w:p>
      <w:pPr>
        <w:numPr>
          <w:numId w:val="1008"/>
          <w:ilvl w:val="1"/>
        </w:numPr>
      </w:pPr>
      <w:r>
        <w:rPr>
          <w:b/>
        </w:rPr>
        <w:t xml:space="preserve">Atenção:</w:t>
      </w:r>
      <w:r>
        <w:t xml:space="preserve"> </w:t>
      </w:r>
      <w:r>
        <w:t xml:space="preserve">Não confundir economia concorrencial com concorrência perfeita.</w:t>
      </w:r>
    </w:p>
    <w:p>
      <w:pPr>
        <w:numPr>
          <w:numId w:val="1008"/>
          <w:ilvl w:val="1"/>
        </w:numPr>
      </w:pPr>
      <w:r>
        <w:t xml:space="preserve">[</w:t>
      </w:r>
      <m:oMath>
        <m:r>
          <m:t>⊠</m:t>
        </m:r>
      </m:oMath>
      <w:r>
        <w:t xml:space="preserve">] Modelo de Steindl (1979): Se, no curto prazo, a</w:t>
      </w:r>
      <w:r>
        <w:t xml:space="preserve"> </w:t>
      </w:r>
      <w:r>
        <w:t xml:space="preserve">participação dos lucros na renda depende do grau de utilização, o</w:t>
      </w:r>
      <w:r>
        <w:t xml:space="preserve"> </w:t>
      </w:r>
      <w:r>
        <w:t xml:space="preserve">que a determina no longo prazo?</w:t>
      </w:r>
    </w:p>
    <w:p>
      <w:pPr>
        <w:numPr>
          <w:numId w:val="1008"/>
          <w:ilvl w:val="1"/>
        </w:numPr>
      </w:pPr>
      <w:r>
        <w:t xml:space="preserve">[</w:t>
      </w:r>
      <m:oMath>
        <m:r>
          <m:t>⊠</m:t>
        </m:r>
      </m:oMath>
      <w:r>
        <w:t xml:space="preserve">]</w:t>
      </w:r>
    </w:p>
    <w:p>
      <w:pPr>
        <w:numPr>
          <w:numId w:val="1006"/>
          <w:ilvl w:val="0"/>
        </w:numPr>
      </w:pPr>
      <w:r>
        <w:t xml:space="preserve">[</w:t>
      </w:r>
      <m:oMath>
        <m:r>
          <m:t>⊠</m:t>
        </m:r>
      </m:oMath>
      <w:r>
        <w:t xml:space="preserve">] A taxa de crescimento da economia é determinado pelos gastos</w:t>
      </w:r>
      <w:r>
        <w:t xml:space="preserve"> </w:t>
      </w:r>
      <w:r>
        <w:t xml:space="preserve">autônomos, seja o componente autônomo do investimento, sejam gastos</w:t>
      </w:r>
      <w:r>
        <w:t xml:space="preserve"> </w:t>
      </w:r>
      <w:r>
        <w:t xml:space="preserve">que não criam capacidade produtiva. Desse modo:</w:t>
      </w:r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t>=</m:t>
          </m:r>
          <m:sSub>
            <m:e>
              <m:r>
                <m:t>g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numId w:val="1009"/>
          <w:ilvl w:val="0"/>
        </w:numPr>
      </w:pPr>
      <w:r>
        <w:t xml:space="preserve">Ao normalizar o investimento pelo estoque de capital, (</w:t>
      </w:r>
      <m:oMath>
        <m:r>
          <m:t>I</m:t>
        </m:r>
        <m:r>
          <m:t>/</m:t>
        </m:r>
        <m:r>
          <m:t>K</m:t>
        </m:r>
      </m:oMath>
      <w:r>
        <w:t xml:space="preserve">),</w:t>
      </w:r>
      <w:r>
        <w:t xml:space="preserve"> </w:t>
      </w:r>
      <w:r>
        <w:t xml:space="preserve">obtém-se (por definição!) a taxa de crescimento do estoque de capital,</w:t>
      </w:r>
      <w:r>
        <w:t xml:space="preserve"> </w:t>
      </w:r>
      <w:r>
        <w:t xml:space="preserve">logo, fazer: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I</m:t>
              </m:r>
            </m:num>
            <m:den>
              <m:r>
                <m:t>K</m:t>
              </m:r>
            </m:den>
          </m:f>
          <m:r>
            <m:t>=</m:t>
          </m:r>
          <m:r>
            <m:t>g</m:t>
          </m:r>
        </m:oMath>
      </m:oMathPara>
    </w:p>
    <w:p>
      <w:pPr>
        <w:numPr>
          <w:numId w:val="1010"/>
          <w:ilvl w:val="0"/>
        </w:numPr>
      </w:pPr>
      <w:r>
        <w:t xml:space="preserve">É incorrer em um erro contábil que implica dizer que a poupança é</w:t>
      </w:r>
      <w:r>
        <w:t xml:space="preserve"> </w:t>
      </w:r>
      <w:r>
        <w:t xml:space="preserve">determinada pelo investimento via mudanças na capacidade produtiva</w:t>
      </w:r>
      <w:r>
        <w:t xml:space="preserve"> </w:t>
      </w:r>
      <w:r>
        <w:t xml:space="preserve">sendo que só é verdade na presença de gastos autônomos que não criam</w:t>
      </w:r>
      <w:r>
        <w:t xml:space="preserve"> </w:t>
      </w:r>
      <w:r>
        <w:t xml:space="preserve">capacidade.</w:t>
      </w:r>
    </w:p>
    <w:p>
      <w:pPr>
        <w:pStyle w:val="Heading2"/>
      </w:pPr>
      <w:bookmarkStart w:id="23" w:name="supermultiplicador"/>
      <w:r>
        <w:t xml:space="preserve">Supermultiplicador</w:t>
      </w:r>
      <w:bookmarkEnd w:id="23"/>
    </w:p>
    <w:p>
      <w:pPr>
        <w:numPr>
          <w:numId w:val="1011"/>
          <w:ilvl w:val="0"/>
        </w:numPr>
      </w:pPr>
      <w:r>
        <w:t xml:space="preserve">[</w:t>
      </w:r>
      <m:oMath>
        <m:r>
          <m:t>⊠</m:t>
        </m:r>
      </m:oMath>
      <w:r>
        <w:t xml:space="preserve">] Como a prova da estabilidade do modelo de Harrod implica na</w:t>
      </w:r>
      <w:r>
        <w:t xml:space="preserve"> </w:t>
      </w:r>
      <w:r>
        <w:t xml:space="preserve">validade da Lei de Say no longo prazo?</w:t>
      </w:r>
    </w:p>
    <w:p>
      <w:pPr>
        <w:numPr>
          <w:numId w:val="1011"/>
          <w:ilvl w:val="0"/>
        </w:numPr>
      </w:pPr>
      <w:r>
        <w:t xml:space="preserve">[</w:t>
      </w:r>
      <m:oMath>
        <m:r>
          <m:t>⊠</m:t>
        </m:r>
      </m:oMath>
      <w:r>
        <w:t xml:space="preserve">]</w:t>
      </w:r>
      <w:r>
        <w:t xml:space="preserve"> </w:t>
      </w:r>
      <m:oMath>
        <m:r>
          <m:t>⇑</m:t>
        </m:r>
        <m:r>
          <m:t>s</m:t>
        </m:r>
        <m:r>
          <m:t>⇒</m:t>
        </m:r>
        <m:r>
          <m:t>⇑</m:t>
        </m:r>
        <m:r>
          <m:t>g</m:t>
        </m:r>
      </m:oMath>
      <w:r>
        <w:t xml:space="preserve">? Isso é consequência da</w:t>
      </w:r>
      <w:r>
        <w:t xml:space="preserve"> </w:t>
      </w:r>
      <w:r>
        <w:t xml:space="preserve">Lei de Say?</w:t>
      </w:r>
    </w:p>
    <w:p>
      <w:pPr>
        <w:numPr>
          <w:numId w:val="1012"/>
          <w:ilvl w:val="1"/>
        </w:numPr>
      </w:pPr>
      <w:r>
        <w:rPr>
          <w:b/>
        </w:rPr>
        <w:t xml:space="preserve">Não</w:t>
      </w:r>
      <w:r>
        <w:t xml:space="preserve">, e sim a prdoneção à ser igual à 1.</w:t>
      </w:r>
    </w:p>
    <w:p>
      <w:pPr>
        <w:numPr>
          <w:numId w:val="1011"/>
          <w:ilvl w:val="0"/>
        </w:numPr>
      </w:pPr>
      <w:r>
        <w:t xml:space="preserve">[</w:t>
      </w:r>
      <m:oMath>
        <m:r>
          <m:t>▫</m:t>
        </m:r>
      </m:oMath>
      <w:r>
        <w:t xml:space="preserve">] Como deduzir a Equação (16)</w:t>
      </w:r>
      <w:r>
        <w:t xml:space="preserve"> </w:t>
      </w:r>
      <m:oMath>
        <m:r>
          <m:t>z</m:t>
        </m:r>
        <m:r>
          <m:t>=</m:t>
        </m:r>
        <m:f>
          <m:fPr>
            <m:type m:val="bar"/>
          </m:fPr>
          <m:num>
            <m:r>
              <m:t>h</m:t>
            </m:r>
          </m:num>
          <m:den>
            <m:r>
              <m:t>v</m:t>
            </m:r>
          </m:den>
        </m:f>
        <m:r>
          <m:t>u</m:t>
        </m:r>
      </m:oMath>
      <w:r>
        <w:t xml:space="preserve"> </w:t>
      </w:r>
      <w:r>
        <w:t xml:space="preserve">a partir do</w:t>
      </w:r>
      <w:r>
        <w:t xml:space="preserve"> </w:t>
      </w:r>
      <w:r>
        <w:t xml:space="preserve">crescimento do investimento?</w:t>
      </w:r>
    </w:p>
    <w:p>
      <w:pPr>
        <w:numPr>
          <w:numId w:val="1013"/>
          <w:ilvl w:val="1"/>
        </w:numPr>
      </w:pPr>
      <w:r>
        <w:t xml:space="preserve">Se for a taxa de crescimento do estoque de capital, a dedução é</w:t>
      </w:r>
      <w:r>
        <w:t xml:space="preserve"> </w:t>
      </w:r>
      <w:r>
        <w:t xml:space="preserve">direta e o mesmo vale para</w:t>
      </w:r>
      <w:r>
        <w:t xml:space="preserve"> </w:t>
      </w:r>
      <m:oMath>
        <m:sSub>
          <m:e>
            <m:r>
              <m:t>g</m:t>
            </m:r>
          </m:e>
          <m:sub>
            <m:r>
              <m:t>I</m:t>
            </m:r>
          </m:sub>
        </m:sSub>
        <m:r>
          <m:t>→</m:t>
        </m:r>
        <m:sSub>
          <m:e>
            <m:r>
              <m:t>g</m:t>
            </m:r>
          </m:e>
          <m:sub>
            <m:r>
              <m:t>K</m:t>
            </m:r>
          </m:sub>
        </m:sSub>
      </m:oMath>
    </w:p>
    <w:p>
      <w:pPr>
        <w:numPr>
          <w:numId w:val="1013"/>
          <w:ilvl w:val="1"/>
        </w:numPr>
      </w:pPr>
      <w:r>
        <w:t xml:space="preserve">Os autores queriam dizer a partir do crescimento do estoque de</w:t>
      </w:r>
      <w:r>
        <w:t xml:space="preserve"> </w:t>
      </w:r>
      <w:r>
        <w:t xml:space="preserve">capital?</w:t>
      </w:r>
    </w:p>
    <w:p>
      <w:pPr>
        <w:numPr>
          <w:numId w:val="1011"/>
          <w:ilvl w:val="0"/>
        </w:numPr>
      </w:pPr>
      <w:r>
        <w:t xml:space="preserve">[</w:t>
      </w:r>
      <m:oMath>
        <m:r>
          <m:t>▫</m:t>
        </m:r>
      </m:oMath>
      <w:r>
        <w:t xml:space="preserve">] Jacobiano para demonstrar estabilidade também é válida para</w:t>
      </w:r>
      <w:r>
        <w:t xml:space="preserve"> </w:t>
      </w:r>
      <w:r>
        <w:t xml:space="preserve">tempo discreto?</w:t>
      </w:r>
    </w:p>
    <w:p>
      <w:pPr>
        <w:numPr>
          <w:numId w:val="1014"/>
          <w:ilvl w:val="1"/>
        </w:numPr>
      </w:pPr>
      <w:r>
        <w:t xml:space="preserve">[</w:t>
      </w:r>
      <m:oMath>
        <m:r>
          <m:t>▫</m:t>
        </m:r>
      </m:oMath>
      <w:r>
        <w:t xml:space="preserve">]</w:t>
      </w:r>
      <w:r>
        <w:t xml:space="preserve"> </w:t>
      </w:r>
      <w:r>
        <w:rPr>
          <w:b/>
        </w:rPr>
        <w:t xml:space="preserve">Checar:</w:t>
      </w:r>
      <w:r>
        <w:t xml:space="preserve"> </w:t>
      </w:r>
      <w:r>
        <w:t xml:space="preserve">O ferramental para tempo contínuo é</w:t>
      </w:r>
      <w:r>
        <w:t xml:space="preserve"> </w:t>
      </w:r>
      <w:r>
        <w:t xml:space="preserve">aplicável ao tempo discreto, mas o inverso não é válido</w:t>
      </w:r>
    </w:p>
    <w:p>
      <w:pPr>
        <w:numPr>
          <w:numId w:val="1011"/>
          <w:ilvl w:val="0"/>
        </w:numPr>
      </w:pPr>
      <w:r>
        <w:t xml:space="preserve">[</w:t>
      </w:r>
      <m:oMath>
        <m:r>
          <m:t>⊠</m:t>
        </m:r>
      </m:oMath>
      <w:r>
        <w:t xml:space="preserve">] Como a hipótese de que o investimento é autônomo implicou na</w:t>
      </w:r>
      <w:r>
        <w:t xml:space="preserve"> </w:t>
      </w:r>
      <w:r>
        <w:t xml:space="preserve">superação do problema da instabilidade de Harrod nos modelos</w:t>
      </w:r>
      <w:r>
        <w:t xml:space="preserve"> </w:t>
      </w:r>
      <w:r>
        <w:t xml:space="preserve">heterodoxos?</w:t>
      </w:r>
    </w:p>
    <w:p>
      <w:pPr>
        <w:numPr>
          <w:numId w:val="1011"/>
          <w:ilvl w:val="0"/>
        </w:numPr>
      </w:pPr>
      <w:r>
        <w:t xml:space="preserve">[</w:t>
      </w:r>
      <m:oMath>
        <m:r>
          <m:t>⊠</m:t>
        </m:r>
      </m:oMath>
      <w:r>
        <w:t xml:space="preserve">] Como os gastos autônomos, ao crescerem à uma taxa exógena,</w:t>
      </w:r>
      <w:r>
        <w:t xml:space="preserve"> </w:t>
      </w:r>
      <w:r>
        <w:t xml:space="preserve">garantem que a taxa de crescimento da capacidade produtiva reagirá</w:t>
      </w:r>
      <w:r>
        <w:t xml:space="preserve"> </w:t>
      </w:r>
      <w:r>
        <w:t xml:space="preserve">mais do que a demanda?</w:t>
      </w:r>
    </w:p>
    <w:p>
      <w:pPr>
        <w:numPr>
          <w:numId w:val="1015"/>
          <w:ilvl w:val="1"/>
        </w:numPr>
      </w:pPr>
      <w:r>
        <w:rPr>
          <w:b/>
        </w:rPr>
        <w:t xml:space="preserve">Gabriel:</w:t>
      </w:r>
      <w:r>
        <w:t xml:space="preserve"> </w:t>
      </w:r>
      <w:r>
        <w:t xml:space="preserve">Ficou mais claro.</w:t>
      </w:r>
    </w:p>
    <w:p>
      <w:pPr>
        <w:pStyle w:val="Heading2"/>
      </w:pPr>
      <w:bookmarkStart w:id="24" w:name="proposta-de-apresentacao-simplificada-dos-modelos-de-crescimento"/>
      <w:r>
        <w:t xml:space="preserve">Proposta de apresentação simplificada dos modelos de</w:t>
      </w:r>
      <w:r>
        <w:t xml:space="preserve"> </w:t>
      </w:r>
      <w:r>
        <w:t xml:space="preserve">crescimento</w:t>
      </w:r>
      <w:bookmarkEnd w:id="24"/>
    </w:p>
    <w:p>
      <w:pPr>
        <w:pStyle w:val="FirstParagraph"/>
      </w:pPr>
      <w:r>
        <w:t xml:space="preserve">Seja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o grau de utilização definido como: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t>=</m:t>
          </m:r>
          <m:f>
            <m:fPr>
              <m:type m:val="bar"/>
            </m:fPr>
            <m:num>
              <m:r>
                <m:t>Y</m:t>
              </m:r>
            </m:num>
            <m:den>
              <m:sSup>
                <m:e>
                  <m:r>
                    <m:t>Y</m:t>
                  </m:r>
                </m:e>
                <m:sup>
                  <m:r>
                    <m:t>*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em que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é o produto e</w:t>
      </w:r>
      <w:r>
        <w:t xml:space="preserve"> </w:t>
      </w:r>
      <m:oMath>
        <m:sSup>
          <m:e>
            <m:r>
              <m:t>Y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o produto potencial utilizado como</w:t>
      </w:r>
      <w:r>
        <w:t xml:space="preserve"> </w:t>
      </w:r>
      <w:r>
        <w:rPr>
          <w:i/>
        </w:rPr>
        <w:t xml:space="preserve">proxy</w:t>
      </w:r>
      <w:r>
        <w:t xml:space="preserve"> </w:t>
      </w:r>
      <w:r>
        <w:t xml:space="preserve">para a capacidade produtiva. Enquanto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é a relação</w:t>
      </w:r>
      <w:r>
        <w:t xml:space="preserve"> </w:t>
      </w:r>
      <w:r>
        <w:t xml:space="preserve">técnica capital produto definida por: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=</m:t>
          </m:r>
          <m:f>
            <m:fPr>
              <m:type m:val="bar"/>
            </m:fPr>
            <m:num>
              <m:r>
                <m:t>K</m:t>
              </m:r>
            </m:num>
            <m:den>
              <m:sSup>
                <m:e>
                  <m:r>
                    <m:t>Y</m:t>
                  </m:r>
                </m:e>
                <m:sup>
                  <m:r>
                    <m:t>*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 equação</w:t>
      </w:r>
      <w:r>
        <w:t xml:space="preserve"> </w:t>
      </w:r>
      <w:hyperlink w:anchor="Comum">
        <w:r>
          <w:rPr>
            <w:rStyle w:val="Hyperlink"/>
          </w:rPr>
          <w:t xml:space="preserve">[Comum]</w:t>
        </w:r>
      </w:hyperlink>
      <w:r>
        <w:t xml:space="preserve"> </w:t>
      </w:r>
      <w:r>
        <w:t xml:space="preserve">pode ser reescrita como: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u</m:t>
          </m:r>
          <m:sSup>
            <m:e>
              <m:r>
                <m:t>Y</m:t>
              </m:r>
            </m:e>
            <m:sup>
              <m:r>
                <m:t>*</m:t>
              </m:r>
            </m:sup>
          </m:sSup>
        </m:oMath>
      </m:oMathPara>
    </w:p>
    <w:p>
      <w:pPr>
        <w:pStyle w:val="FirstParagraph"/>
      </w:pPr>
      <w:r>
        <w:t xml:space="preserve">Tomando a diferença: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Y</m:t>
          </m:r>
          <m:r>
            <m:t>=</m:t>
          </m:r>
          <m:r>
            <m:t>Δ</m:t>
          </m:r>
          <m:r>
            <m:t>u</m:t>
          </m:r>
          <m:sSup>
            <m:e>
              <m:r>
                <m:t>Y</m:t>
              </m:r>
            </m:e>
            <m:sup>
              <m:r>
                <m:t>*</m:t>
              </m:r>
            </m:sup>
          </m:sSup>
          <m:r>
            <m:t>+</m:t>
          </m:r>
          <m:r>
            <m:t>u</m:t>
          </m:r>
          <m:r>
            <m:t>Δ</m:t>
          </m:r>
          <m:sSup>
            <m:e>
              <m:r>
                <m:t>Y</m:t>
              </m:r>
            </m:e>
            <m:sup>
              <m:r>
                <m:t>*</m:t>
              </m:r>
            </m:sup>
          </m:sSup>
        </m:oMath>
      </m:oMathPara>
    </w:p>
    <w:p>
      <w:pPr>
        <w:pStyle w:val="FirstParagraph"/>
      </w:pPr>
      <w:r>
        <w:t xml:space="preserve">Dividindo pelo produto: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Y</m:t>
              </m:r>
            </m:sub>
          </m:sSub>
          <m:r>
            <m:t>=</m:t>
          </m:r>
          <m:sSub>
            <m:e>
              <m:r>
                <m:t>g</m:t>
              </m:r>
            </m:e>
            <m:sub>
              <m:r>
                <m:t>u</m:t>
              </m:r>
            </m:sub>
          </m:sSub>
          <m:r>
            <m:t>+</m:t>
          </m:r>
          <m:sSub>
            <m:e>
              <m:r>
                <m:t>g</m:t>
              </m:r>
            </m:e>
            <m:sub>
              <m:sSup>
                <m:e>
                  <m:r>
                    <m:t>Y</m:t>
                  </m:r>
                </m:e>
                <m:sup>
                  <m:r>
                    <m:t>*</m:t>
                  </m:r>
                </m:sup>
              </m:sSup>
            </m:sub>
          </m:sSub>
        </m:oMath>
      </m:oMathPara>
    </w:p>
    <w:p>
      <w:pPr>
        <w:pStyle w:val="FirstParagraph"/>
      </w:pPr>
      <w:r>
        <w:t xml:space="preserve">Com a equação acima, pretende-se apresentar um denominador comum às</w:t>
      </w:r>
      <w:r>
        <w:t xml:space="preserve"> </w:t>
      </w:r>
      <w:r>
        <w:t xml:space="preserve">teorias de crescimento heterodoxas em que:</w:t>
      </w:r>
    </w:p>
    <w:p>
      <w:pPr>
        <w:numPr>
          <w:numId w:val="1016"/>
          <w:ilvl w:val="0"/>
        </w:numPr>
      </w:pPr>
      <w:r>
        <w:rPr>
          <w:b/>
        </w:rPr>
        <w:t xml:space="preserve">Cambridge:</w:t>
      </w:r>
      <w:r>
        <w:t xml:space="preserve"> </w:t>
      </w:r>
      <w:r>
        <w:t xml:space="preserve">economia opera no pleno-emprego (Kaldor (1957)) ou</w:t>
      </w:r>
      <w:r>
        <w:t xml:space="preserve"> </w:t>
      </w:r>
      <w:r>
        <w:t xml:space="preserve">grau de utilização converge ao normal (Robinson (1962)). Além disso, o</w:t>
      </w:r>
      <w:r>
        <w:t xml:space="preserve"> </w:t>
      </w:r>
      <w:r>
        <w:t xml:space="preserve">sistema econômico não é restringido pelo lado da demanda, mas sim pela</w:t>
      </w:r>
      <w:r>
        <w:t xml:space="preserve"> </w:t>
      </w:r>
      <w:r>
        <w:t xml:space="preserve">oferta. Assim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Y</m:t>
              </m:r>
            </m:sub>
          </m:sSub>
          <m:limUpp>
            <m:e>
              <m:r>
                <m:t>=</m:t>
              </m:r>
            </m:e>
            <m:lim>
              <m:r>
                <m:t>↼</m:t>
              </m:r>
            </m:lim>
          </m:limUpp>
          <m:sSub>
            <m:e>
              <m:r>
                <m:t>g</m:t>
              </m:r>
            </m:e>
            <m:sub>
              <m:sSup>
                <m:e>
                  <m:r>
                    <m:t>Y</m:t>
                  </m:r>
                </m:e>
                <m:sup>
                  <m:r>
                    <m:t>*</m:t>
                  </m:r>
                </m:sup>
              </m:sSup>
            </m:sub>
          </m:sSub>
        </m:oMath>
      </m:oMathPara>
    </w:p>
    <w:p>
      <w:pPr>
        <w:numPr>
          <w:numId w:val="1017"/>
          <w:ilvl w:val="0"/>
        </w:numPr>
      </w:pPr>
      <w:r>
        <w:rPr>
          <w:b/>
        </w:rPr>
        <w:t xml:space="preserve">Neo-Kaleckiano:</w:t>
      </w:r>
      <w:r>
        <w:t xml:space="preserve"> </w:t>
      </w:r>
      <w:r>
        <w:t xml:space="preserve">Economia não opera no pleno-emprego e, nos</w:t>
      </w:r>
      <w:r>
        <w:t xml:space="preserve"> </w:t>
      </w:r>
      <w:r>
        <w:t xml:space="preserve">modelos convencionais, grau de utilização não converge ao normal e</w:t>
      </w:r>
      <w:r>
        <w:t xml:space="preserve"> </w:t>
      </w:r>
      <w:r>
        <w:t xml:space="preserve">acomoda as mudanças no nível de atividade dada mudanças residuais na</w:t>
      </w:r>
      <w:r>
        <w:t xml:space="preserve"> </w:t>
      </w:r>
      <w:r>
        <w:t xml:space="preserve">capacidade produtiva: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u</m:t>
              </m:r>
            </m:sub>
          </m:sSub>
          <m:limUpp>
            <m:e>
              <m:r>
                <m:t>=</m:t>
              </m:r>
            </m:e>
            <m:lim>
              <m:r>
                <m:t>↼</m:t>
              </m:r>
            </m:lim>
          </m:limUpp>
          <m:sSub>
            <m:e>
              <m:r>
                <m:t>g</m:t>
              </m:r>
            </m:e>
            <m:sub>
              <m:r>
                <m:t>Y</m:t>
              </m:r>
            </m:sub>
          </m:sSub>
          <m:r>
            <m:t>−</m:t>
          </m:r>
          <m:sSub>
            <m:e>
              <m:r>
                <m:t>g</m:t>
              </m:r>
            </m:e>
            <m:sub>
              <m:sSup>
                <m:e>
                  <m:r>
                    <m:t>Y</m:t>
                  </m:r>
                </m:e>
                <m:sup>
                  <m:r>
                    <m:t>*</m:t>
                  </m:r>
                </m:sup>
              </m:sSup>
            </m:sub>
          </m:sSub>
        </m:oMath>
      </m:oMathPara>
    </w:p>
    <w:p>
      <w:pPr>
        <w:numPr>
          <w:numId w:val="1018"/>
          <w:ilvl w:val="0"/>
        </w:numPr>
      </w:pPr>
      <w:r>
        <w:rPr>
          <w:b/>
        </w:rPr>
        <w:t xml:space="preserve">Supermultiplicador Sraffiano:</w:t>
      </w:r>
      <w:r>
        <w:t xml:space="preserve"> </w:t>
      </w:r>
      <w:r>
        <w:t xml:space="preserve">Grau de utilização converge ao</w:t>
      </w:r>
      <w:r>
        <w:t xml:space="preserve"> </w:t>
      </w:r>
      <w:r>
        <w:t xml:space="preserve">normal no longo prazo e capacidade produtiva se ajusta à demanda</w:t>
      </w:r>
      <w:r>
        <w:t xml:space="preserve"> </w:t>
      </w:r>
      <w:r>
        <w:t xml:space="preserve">efetiva dada a existência de gastos autônomos não criadores de</w:t>
      </w:r>
      <w:r>
        <w:t xml:space="preserve"> </w:t>
      </w:r>
      <w:r>
        <w:t xml:space="preserve">capacidade: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sSup>
                <m:e>
                  <m:r>
                    <m:t>Y</m:t>
                  </m:r>
                </m:e>
                <m:sup>
                  <m:r>
                    <m:t>*</m:t>
                  </m:r>
                </m:sup>
              </m:sSup>
            </m:sub>
          </m:sSub>
          <m:limUpp>
            <m:e>
              <m:r>
                <m:t>=</m:t>
              </m:r>
            </m:e>
            <m:lim>
              <m:r>
                <m:t>↼</m:t>
              </m:r>
            </m:lim>
          </m:limUpp>
          <m:sSub>
            <m:e>
              <m:r>
                <m:t>g</m:t>
              </m:r>
            </m:e>
            <m:sub>
              <m:r>
                <m:t>Y</m:t>
              </m:r>
            </m:sub>
          </m:sSub>
        </m:oMath>
      </m:oMathPara>
    </w:p>
    <w:p>
      <w:pPr>
        <w:pStyle w:val="FirstParagraph"/>
      </w:pPr>
      <w:r>
        <w:rPr>
          <w:b/>
        </w:rPr>
        <w:t xml:space="preserve">Dúvida:</w:t>
      </w:r>
      <w:r>
        <w:t xml:space="preserve"> </w:t>
      </w:r>
      <w:r>
        <w:t xml:space="preserve">Alguma passagem incorreta?</w:t>
      </w:r>
    </w:p>
    <w:p>
      <w:pPr>
        <w:pStyle w:val="BodyText"/>
      </w:pPr>
      <w:r>
        <w:rPr>
          <w:b/>
        </w:rPr>
        <w:t xml:space="preserve">Dúvida: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precisa ser definido em termos do estoque de</w:t>
      </w:r>
      <w:r>
        <w:t xml:space="preserve"> </w:t>
      </w:r>
      <w:r>
        <w:t xml:space="preserve">capital com defasagem?</w:t>
      </w:r>
    </w:p>
    <w:p>
      <w:pPr>
        <w:pStyle w:val="BodyText"/>
      </w:pPr>
      <w:r>
        <w:rPr>
          <w:b/>
        </w:rPr>
        <w:t xml:space="preserve">Dúvida:</w:t>
      </w:r>
      <w:r>
        <w:t xml:space="preserve"> </w:t>
      </w:r>
      <w:r>
        <w:t xml:space="preserve">É correto afirmar que nos modelos de crescimento</w:t>
      </w:r>
      <w:r>
        <w:t xml:space="preserve"> </w:t>
      </w:r>
      <w:r>
        <w:t xml:space="preserve">neo-Kaleckianos a capacidade produtiva tem uma dinâmica residual?</w:t>
      </w:r>
    </w:p>
    <w:p>
      <w:pPr>
        <w:numPr>
          <w:numId w:val="1019"/>
          <w:ilvl w:val="0"/>
        </w:numPr>
      </w:pPr>
      <w:r>
        <w:rPr>
          <w:b/>
        </w:rPr>
        <w:t xml:space="preserve">Gabriel:</w:t>
      </w:r>
      <w:r>
        <w:t xml:space="preserve"> </w:t>
      </w:r>
      <w:r>
        <w:t xml:space="preserve">Vou pensar em como reformular. De todo modo, percebi que estava errado.</w:t>
      </w:r>
    </w:p>
    <w:p>
      <w:pPr>
        <w:pStyle w:val="Heading1"/>
      </w:pPr>
      <w:bookmarkStart w:id="25" w:name="capitulo-fatos-estilizados"/>
      <w:r>
        <w:t xml:space="preserve">Capítulo Fatos Estilizados</w:t>
      </w:r>
      <w:bookmarkEnd w:id="25"/>
    </w:p>
    <w:p>
      <w:pPr>
        <w:pStyle w:val="Heading1"/>
      </w:pPr>
      <w:bookmarkStart w:id="26" w:name="capitulo-modelo"/>
      <w:r>
        <w:t xml:space="preserve">Capítulo Modelo</w:t>
      </w:r>
      <w:bookmarkEnd w:id="26"/>
    </w:p>
    <w:p>
      <w:pPr>
        <w:numPr>
          <w:numId w:val="1020"/>
          <w:ilvl w:val="0"/>
        </w:numPr>
      </w:pPr>
      <w:r>
        <w:t xml:space="preserve">[</w:t>
      </w:r>
      <m:oMath>
        <m:r>
          <m:t>▫</m:t>
        </m:r>
      </m:oMath>
      <w:r>
        <w:t xml:space="preserve">] Como incorporar investimento residencial no balanço das</w:t>
      </w:r>
      <w:r>
        <w:t xml:space="preserve"> </w:t>
      </w:r>
      <w:r>
        <w:t xml:space="preserve">famílias? Semelhante à conta capital das firmas?</w:t>
      </w:r>
    </w:p>
    <w:p>
      <w:pPr>
        <w:numPr>
          <w:numId w:val="1020"/>
          <w:ilvl w:val="0"/>
        </w:numPr>
      </w:pPr>
      <w:r>
        <w:t xml:space="preserve">[</w:t>
      </w:r>
      <m:oMath>
        <m:r>
          <m:t>▫</m:t>
        </m:r>
      </m:oMath>
      <w:r>
        <w:t xml:space="preserve">] Robinson (1962) não trata de investimento residencial por se</w:t>
      </w:r>
      <w:r>
        <w:t xml:space="preserve"> </w:t>
      </w:r>
      <w:r>
        <w:t xml:space="preserve">tratar de uma concomitância entre poupança e gasto, como tratar</w:t>
      </w:r>
      <w:r>
        <w:t xml:space="preserve"> </w:t>
      </w:r>
      <w:r>
        <w:t xml:space="preserve">investimento residencial? O que seria essa concomitância</w:t>
      </w:r>
      <w:r>
        <w:t xml:space="preserve"> </w:t>
      </w:r>
      <w:r>
        <w:t xml:space="preserve">(</w:t>
      </w:r>
      <w:r>
        <w:rPr>
          <w:i/>
        </w:rPr>
        <w:t xml:space="preserve">border-line</w:t>
      </w:r>
      <w:r>
        <w:t xml:space="preserve">)?</w:t>
      </w:r>
    </w:p>
    <w:p>
      <w:pPr>
        <w:numPr>
          <w:numId w:val="1020"/>
          <w:ilvl w:val="0"/>
        </w:numPr>
      </w:pPr>
      <w:r>
        <w:t xml:space="preserve">Em Serrano et al (2015) em que são apresentadas as condições de</w:t>
      </w:r>
      <w:r>
        <w:t xml:space="preserve"> </w:t>
      </w:r>
      <w:r>
        <w:t xml:space="preserve">estabilidade estática e dinâmica do modelo, os autores afirma que se</w:t>
      </w:r>
      <w:r>
        <w:t xml:space="preserve"> </w:t>
      </w:r>
      <w:r>
        <w:t xml:space="preserve">próximo de</w:t>
      </w:r>
      <w:r>
        <w:t xml:space="preserve"> </w:t>
      </w:r>
      <m:oMath>
        <m:r>
          <m:t>u</m:t>
        </m:r>
        <m: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 prdonesão marginal à gastar superar a unidade,</w:t>
      </w:r>
      <w:r>
        <w:t xml:space="preserve"> </w:t>
      </w:r>
      <w:r>
        <w:t xml:space="preserve">a economia apresentará uma trajetória cíclica com limites superiores e</w:t>
      </w:r>
      <w:r>
        <w:t xml:space="preserve"> </w:t>
      </w:r>
      <w:r>
        <w:t xml:space="preserve">inferiores. Esta pode ser uma forma de incluir não-linearidade ao</w:t>
      </w:r>
      <w:r>
        <w:t xml:space="preserve"> </w:t>
      </w:r>
      <w:r>
        <w:t xml:space="preserve">modelo para simular o ciclo econômico. Ao longo da investigação dos</w:t>
      </w:r>
      <w:r>
        <w:t xml:space="preserve"> </w:t>
      </w:r>
      <w:r>
        <w:t xml:space="preserve">fatos estilizados, pesquisarei se existem evidências para incorporar a</w:t>
      </w:r>
      <w:r>
        <w:t xml:space="preserve"> </w:t>
      </w:r>
      <w:r>
        <w:t xml:space="preserve">não linearidade dessa forma, caso contrário, por ser uma postura</w:t>
      </w:r>
      <w:r>
        <w:t xml:space="preserve"> </w:t>
      </w:r>
      <w:r>
        <w:rPr>
          <w:i/>
        </w:rPr>
        <w:t xml:space="preserve">ad hoc</w:t>
      </w:r>
      <w:r>
        <w:t xml:space="preserve">, não irei adotá-la.</w:t>
      </w:r>
    </w:p>
    <w:p>
      <w:pPr>
        <w:numPr>
          <w:numId w:val="1021"/>
          <w:ilvl w:val="1"/>
        </w:numPr>
      </w:pPr>
      <w:r>
        <w:rPr>
          <w:b/>
        </w:rPr>
        <w:t xml:space="preserve">Gabriel</w:t>
      </w:r>
      <w:r>
        <w:t xml:space="preserve"> </w:t>
      </w:r>
      <w:r>
        <w:t xml:space="preserve">Lerei Hicks (1950)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Dúvidas e impressões</dc:title>
  <dc:creator/>
  <cp:keywords/>
  <dcterms:created xsi:type="dcterms:W3CDTF">2019-01-25T13:27:49Z</dcterms:created>
  <dcterms:modified xsi:type="dcterms:W3CDTF">2019-01-25T13:27:49Z</dcterms:modified>
</cp:coreProperties>
</file>