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left"/>
      </w:pPr>
      <w:r>
        <w:rPr>
          <w:rFonts w:ascii="Arial" w:cs="Arial" w:eastAsia="Arial" w:hAnsi="Arial"/>
          <w:b/>
          <w:bCs/>
          <w:color w:val="1F4E79"/>
          <w:sz w:val="48"/>
          <w:szCs w:val="48"/>
        </w:rPr>
        <w:t xml:space="preserve">Intelligence as Mass Commodity</w:t>
      </w:r>
    </w:p>
    <w:p>
      <w:pPr>
        <w:spacing w:before="0" w:after="240"/>
        <w:jc w:val="left"/>
      </w:pPr>
      <w:r>
        <w:rPr>
          <w:rFonts w:ascii="Arial" w:cs="Arial" w:eastAsia="Arial" w:hAnsi="Arial"/>
          <w:i/>
          <w:iCs/>
          <w:color w:val="2E5F8A"/>
          <w:sz w:val="28"/>
          <w:szCs w:val="28"/>
        </w:rPr>
        <w:t xml:space="preserve">An Annotated Bibliography as Argument Outline</w:t>
      </w:r>
    </w:p>
    <w:p>
      <w:pPr>
        <w:spacing w:before="240" w:after="1440"/>
      </w:pPr>
      <w:r>
        <w:rPr>
          <w:rFonts w:ascii="Arial" w:cs="Arial" w:eastAsia="Arial" w:hAnsi="Arial"/>
          <w:color w:val="444444"/>
          <w:sz w:val="24"/>
          <w:szCs w:val="24"/>
        </w:rPr>
        <w:t xml:space="preserve">Gretchen Elisabeth Pfeil</w:t>
      </w:r>
    </w:p>
    <w:p>
      <w:pPr>
        <w:spacing w:before="0" w:after="160"/>
        <w:ind w:left="0"/>
        <w:jc w:val="both"/>
      </w:pPr>
      <w:r>
        <w:rPr>
          <w:rFonts w:ascii="Times New Roman" w:cs="Times New Roman" w:eastAsia="Times New Roman" w:hAnsi="Times New Roman"/>
          <w:sz w:val="22"/>
          <w:szCs w:val="22"/>
        </w:rPr>
        <w:t xml:space="preserve">This bibliography is organized not alphabetically but argumentatively. Each entry occupies a position within the book's unfolding logic, and the annotation explains not merely what the work contains but what work it performs here. Sources from the dissertation appear in their transformed capacity — what they did there they may not do here; what the book requires of them is often something different, and the annotations say so. Sources added from the broader scholarly conversation are marked with a dagger (†) and represent the new intellectual infrastructure the project requires.</w:t>
      </w:r>
    </w:p>
    <w:p>
      <w:pPr>
        <w:spacing w:before="0" w:after="160"/>
        <w:ind w:left="0"/>
        <w:jc w:val="both"/>
      </w:pPr>
      <w:r>
        <w:rPr>
          <w:rFonts w:ascii="Times New Roman" w:cs="Times New Roman" w:eastAsia="Times New Roman" w:hAnsi="Times New Roman"/>
          <w:sz w:val="22"/>
          <w:szCs w:val="22"/>
        </w:rPr>
        <w:t xml:space="preserve">The argument proceeds in three movements. The first establishes the historical pattern: cognitive labor tools have, since at least the industrial revolution, followed a recognizable trajectory from augmentation to abstraction to infrastructure — a trajectory the book documents empirically in the case of engineering and drafting tools. The second movement names the threshold we are currently crossing: the emergence of intelligence itself, rather than a tool that augments intelligence, as the commodity unit. The third movement asks what this transformation means — for labor, for value, for social life, for the human — and draws on the anthropological and philosophical traditions that have thought most carefully about what happens when things that are not commodities become commodities anyway.</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PART ONE: THE COMMODITY FORM AND ITS PREHISTORY</w:t>
      </w:r>
    </w:p>
    <w:p>
      <w:pPr>
        <w:spacing w:before="0" w:after="160"/>
        <w:ind w:left="0"/>
        <w:jc w:val="both"/>
      </w:pPr>
      <w:r>
        <w:rPr>
          <w:rFonts w:ascii="Times New Roman" w:cs="Times New Roman" w:eastAsia="Times New Roman" w:hAnsi="Times New Roman"/>
          <w:sz w:val="22"/>
          <w:szCs w:val="22"/>
        </w:rPr>
        <w:t xml:space="preserve">The book's argument depends on a precise understanding of what a commodity is — not merely a thing that is bought and sold, but a thing that has undergone a specific social transformation: the effacement of the particular labor that produced it, the standardization of its properties, and its entry into a regime of substitutability. These sources provide that foundation, and collectively they make the case that commoditization is a process with a history, not a natural state of affairs.</w:t>
      </w:r>
    </w:p>
    <w:p>
      <w:pPr>
        <w:pStyle w:val="Heading2"/>
        <w:spacing w:before="360" w:after="120"/>
      </w:pPr>
      <w:r>
        <w:rPr>
          <w:rFonts w:ascii="Arial" w:cs="Arial" w:eastAsia="Arial" w:hAnsi="Arial"/>
          <w:b/>
          <w:bCs/>
          <w:color w:val="2E5F8A"/>
          <w:sz w:val="24"/>
          <w:szCs w:val="24"/>
        </w:rPr>
        <w:t xml:space="preserve">1. On the Nature of the Commodity</w:t>
      </w:r>
    </w:p>
    <w:p>
      <w:pPr>
        <w:spacing w:before="280" w:after="60"/>
        <w:ind w:left="0"/>
      </w:pPr>
      <w:r>
        <w:rPr>
          <w:rFonts w:ascii="Times New Roman" w:cs="Times New Roman" w:eastAsia="Times New Roman" w:hAnsi="Times New Roman"/>
          <w:b/>
          <w:bCs/>
          <w:i/>
          <w:iCs/>
          <w:sz w:val="22"/>
          <w:szCs w:val="22"/>
        </w:rPr>
        <w:t xml:space="preserve">Marx, Karl. [1867] 1986. Capital: A Critique of Political Economy, Vol. 1.</w:t>
      </w:r>
    </w:p>
    <w:p>
      <w:pPr>
        <w:spacing w:before="0" w:after="160"/>
        <w:ind w:left="0"/>
        <w:jc w:val="both"/>
      </w:pPr>
      <w:r>
        <w:rPr>
          <w:rFonts w:ascii="Times New Roman" w:cs="Times New Roman" w:eastAsia="Times New Roman" w:hAnsi="Times New Roman"/>
          <w:sz w:val="22"/>
          <w:szCs w:val="22"/>
        </w:rPr>
        <w:t xml:space="preserve">The foundational text for the argument's conceptual infrastructure, and the most carefully avoided presence in it. Marx's theory of commodity fetishism — the process by which social relations between people come to appear as relations between things, and the labor embedded in objects disappears behind their exchange value — is what the book is describing when it describes the commodification of intelligence. When an AI system produces an output, the cognitive labor of the thousands of human beings whose work trained it, the data workers who labeled it, the engineers who tuned it, vanishes. What remains is a product with a price. This is commodity fetishism applied not to the products of physical labor but to the products of mind. Marx is not cited to make a political point; he is cited because he described this process with more precision than anyone before or since.</w:t>
      </w:r>
    </w:p>
    <w:p>
      <w:pPr>
        <w:spacing w:before="280" w:after="60"/>
        <w:ind w:left="0"/>
      </w:pPr>
      <w:r>
        <w:rPr>
          <w:rFonts w:ascii="Times New Roman" w:cs="Times New Roman" w:eastAsia="Times New Roman" w:hAnsi="Times New Roman"/>
          <w:b/>
          <w:bCs/>
          <w:i/>
          <w:iCs/>
          <w:sz w:val="22"/>
          <w:szCs w:val="22"/>
        </w:rPr>
        <w:t xml:space="preserve">Mauss, Marcel. [1925] 2016. The Gift: The Form and Reason for Exchange in Archaic Societies. Trans. Jane I. Guyer. Chicago: HAU Books.</w:t>
      </w:r>
    </w:p>
    <w:p>
      <w:pPr>
        <w:spacing w:before="0" w:after="160"/>
        <w:ind w:left="0"/>
        <w:jc w:val="both"/>
      </w:pPr>
      <w:r>
        <w:rPr>
          <w:rFonts w:ascii="Times New Roman" w:cs="Times New Roman" w:eastAsia="Times New Roman" w:hAnsi="Times New Roman"/>
          <w:sz w:val="22"/>
          <w:szCs w:val="22"/>
        </w:rPr>
        <w:t xml:space="preserve">Mauss is here as the counter-pole to Marx: if Marx describes what things look like after they become commodities, Mauss describes what they look like before. The gift, in Mauss's account, is not freely given — it carries the identity of the giver, creates obligations, and circulates in ways that constitute social relationships rather than dissolving them. Intelligence, in its pre-commodity form, is Maussian: it carries the identity of the person who possesses it, creates asymmetrical relationships of obligation and dependence, and is irreducibly embedded in the social networks that produced it. The Jane Guyer translation of 2016, cited in the dissertation's introduction, is the preferred text; Guyer's own theoretical apparatus on monetary value and temporal exchange adds a layer of relevance that the earlier translations do not carry.</w:t>
      </w:r>
    </w:p>
    <w:p>
      <w:pPr>
        <w:spacing w:before="280" w:after="60"/>
        <w:ind w:left="0"/>
      </w:pPr>
      <w:r>
        <w:rPr>
          <w:rFonts w:ascii="Times New Roman" w:cs="Times New Roman" w:eastAsia="Times New Roman" w:hAnsi="Times New Roman"/>
          <w:b/>
          <w:bCs/>
          <w:i/>
          <w:iCs/>
          <w:sz w:val="22"/>
          <w:szCs w:val="22"/>
        </w:rPr>
        <w:t xml:space="preserve">Appadurai, Arjun, ed. 1986. The Social Life of Things: Commodities in Cultural Perspective. Cambridge: Cambridge University Press.</w:t>
      </w:r>
    </w:p>
    <w:p>
      <w:pPr>
        <w:spacing w:before="0" w:after="160"/>
        <w:ind w:left="0"/>
        <w:jc w:val="both"/>
      </w:pPr>
      <w:r>
        <w:rPr>
          <w:rFonts w:ascii="Times New Roman" w:cs="Times New Roman" w:eastAsia="Times New Roman" w:hAnsi="Times New Roman"/>
          <w:sz w:val="22"/>
          <w:szCs w:val="22"/>
        </w:rPr>
        <w:t xml:space="preserve">Appadurai's key contribution to this project is the concept of the "commodity phase" — the observation that things move in and out of commodity status depending on context, and that commoditization is therefore a reversible social process rather than a permanent ontological condition. This is important for the book's argument in two ways. First, it establishes that intelligence has a social life — that it has been, under different conditions, organized according to very different logics. Second, it opens the question of whether the current commodity phase of intelligence is reversible, and on what conditions. Appadurai's insistence that the commodity form is culturally and historically specific, not natural, is the theoretical precondition for treating the present moment as something that could have been otherwise and might still be.</w:t>
      </w:r>
    </w:p>
    <w:p>
      <w:pPr>
        <w:spacing w:before="280" w:after="60"/>
        <w:ind w:left="0"/>
      </w:pPr>
      <w:r>
        <w:rPr>
          <w:rFonts w:ascii="Times New Roman" w:cs="Times New Roman" w:eastAsia="Times New Roman" w:hAnsi="Times New Roman"/>
          <w:b/>
          <w:bCs/>
          <w:i/>
          <w:iCs/>
          <w:sz w:val="22"/>
          <w:szCs w:val="22"/>
        </w:rPr>
        <w:t xml:space="preserve">Weiner, Annette B. 1992. Inalienable Possessions: The Paradox of Keeping-While-Giving. Berkeley: University of California Press.</w:t>
      </w:r>
    </w:p>
    <w:p>
      <w:pPr>
        <w:spacing w:before="0" w:after="160"/>
        <w:ind w:left="0"/>
        <w:jc w:val="both"/>
      </w:pPr>
      <w:r>
        <w:rPr>
          <w:rFonts w:ascii="Times New Roman" w:cs="Times New Roman" w:eastAsia="Times New Roman" w:hAnsi="Times New Roman"/>
          <w:sz w:val="22"/>
          <w:szCs w:val="22"/>
        </w:rPr>
        <w:t xml:space="preserve">Weiner's theory of inalienable possessions — objects that cannot be fully alienated because they carry the identity and history of their owner, even when they circulate — provides the crucial counter-concept to commodity fungibility. The argument that intelligence is becoming a commodity depends on the claim that it is becoming fungible: that one unit of intelligence can be substituted for another without loss. Weiner's framework allows us to ask whether this is actually possible — whether intelligence can be fully alienated — or whether it retains an inalienable character, indexing the labor, culture, and subjectivity of its producers even in its commodity form. The tension between alienation and inalienability runs through the book.</w:t>
      </w:r>
    </w:p>
    <w:p>
      <w:pPr>
        <w:pStyle w:val="Heading2"/>
        <w:spacing w:before="360" w:after="120"/>
      </w:pPr>
      <w:r>
        <w:rPr>
          <w:rFonts w:ascii="Arial" w:cs="Arial" w:eastAsia="Arial" w:hAnsi="Arial"/>
          <w:b/>
          <w:bCs/>
          <w:color w:val="2E5F8A"/>
          <w:sz w:val="24"/>
          <w:szCs w:val="24"/>
        </w:rPr>
        <w:t xml:space="preserve">2. The Historical Process of Commoditization</w:t>
      </w:r>
    </w:p>
    <w:p>
      <w:pPr>
        <w:spacing w:before="280" w:after="60"/>
        <w:ind w:left="0"/>
      </w:pPr>
      <w:r>
        <w:rPr>
          <w:rFonts w:ascii="Times New Roman" w:cs="Times New Roman" w:eastAsia="Times New Roman" w:hAnsi="Times New Roman"/>
          <w:b/>
          <w:bCs/>
          <w:i/>
          <w:iCs/>
          <w:sz w:val="22"/>
          <w:szCs w:val="22"/>
        </w:rPr>
        <w:t xml:space="preserve">Cronon, William. 1991. Nature's Metropolis: Chicago and the Great West. New York: W.W. Norton.</w:t>
      </w:r>
    </w:p>
    <w:p>
      <w:pPr>
        <w:spacing w:before="0" w:after="160"/>
        <w:ind w:left="0"/>
        <w:jc w:val="both"/>
      </w:pPr>
      <w:r>
        <w:rPr>
          <w:rFonts w:ascii="Times New Roman" w:cs="Times New Roman" w:eastAsia="Times New Roman" w:hAnsi="Times New Roman"/>
          <w:sz w:val="22"/>
          <w:szCs w:val="22"/>
        </w:rPr>
        <w:t xml:space="preserve">This is the book's single most important historical case study, and it deserves to be read in that light. Cronon's account of how the Chicago grain trade created commodity abstraction — the moment when wheat ceased to be the particular harvest of a particular farm and became a grade, a number, a fungible unit traded on a futures exchange — is the closest historical analogy to what is currently happening to intelligence. The Chicago Board of Trade did not merely organize grain markets; it created the conceptual and material infrastructure for treating a complex, variable, place-specific natural product as a standardized, substitutable commodity. The AI industry is doing something structurally identical with cognitive labor. Cronon also shows the consequences: the farmers who produced the wheat were progressively abstracted from its value, while those who controlled the infrastructure of storage and grading captured an increasing share of it. The parallel should be made explicit.</w:t>
      </w:r>
    </w:p>
    <w:p>
      <w:pPr>
        <w:spacing w:before="280" w:after="60"/>
        <w:ind w:left="0"/>
      </w:pPr>
      <w:r>
        <w:rPr>
          <w:rFonts w:ascii="Times New Roman" w:cs="Times New Roman" w:eastAsia="Times New Roman" w:hAnsi="Times New Roman"/>
          <w:b/>
          <w:bCs/>
          <w:i/>
          <w:iCs/>
          <w:sz w:val="22"/>
          <w:szCs w:val="22"/>
        </w:rPr>
        <w:t xml:space="preserve">Kula, Witold. 1986. Measures and Men. Trans. R. Szreter. Princeton: Princeton University Press.</w:t>
      </w:r>
    </w:p>
    <w:p>
      <w:pPr>
        <w:spacing w:before="0" w:after="160"/>
        <w:ind w:left="0"/>
        <w:jc w:val="both"/>
      </w:pPr>
      <w:r>
        <w:rPr>
          <w:rFonts w:ascii="Times New Roman" w:cs="Times New Roman" w:eastAsia="Times New Roman" w:hAnsi="Times New Roman"/>
          <w:sz w:val="22"/>
          <w:szCs w:val="22"/>
        </w:rPr>
        <w:t xml:space="preserve">Kula's history of standardization and measurement — how pre-modern Europe had dozens of incompatible local measures for grain, cloth, and land, and how these were gradually harmonized into national and then international standards — establishes that standardization is a prerequisite for commoditization, and that it is a political and social achievement, not a technical inevitability. Before wheat could be traded on the Chicago Board of Trade, wheat had to be graded. Before intelligence can be traded as a mass commodity, intelligence has to be measured. The current proliferation of AI benchmarks — MMLU, HumanEval, LMSYS Chatbot Arena — is the standardization moment: the creation of the grade. Kula's work shows that this moment is consequential and contested, and that the choice of measure shapes what gets valued and what does not.</w:t>
      </w:r>
    </w:p>
    <w:p>
      <w:pPr>
        <w:spacing w:before="280" w:after="60"/>
        <w:ind w:left="0"/>
      </w:pPr>
      <w:r>
        <w:rPr>
          <w:rFonts w:ascii="Times New Roman" w:cs="Times New Roman" w:eastAsia="Times New Roman" w:hAnsi="Times New Roman"/>
          <w:b/>
          <w:bCs/>
          <w:i/>
          <w:iCs/>
          <w:sz w:val="22"/>
          <w:szCs w:val="22"/>
        </w:rPr>
        <w:t xml:space="preserve">† Braverman, Harry. 1974. Labor and Monopoly Capital: The Degradation of Work in the Twentieth Century. New York: Monthly Review Press.</w:t>
      </w:r>
    </w:p>
    <w:p>
      <w:pPr>
        <w:spacing w:before="0" w:after="160"/>
        <w:ind w:left="0"/>
        <w:jc w:val="both"/>
      </w:pPr>
      <w:r>
        <w:rPr>
          <w:rFonts w:ascii="Times New Roman" w:cs="Times New Roman" w:eastAsia="Times New Roman" w:hAnsi="Times New Roman"/>
          <w:sz w:val="22"/>
          <w:szCs w:val="22"/>
        </w:rPr>
        <w:t xml:space="preserve">Not cited in the dissertation, but essential for the book's historical argument. Braverman's analysis of deskilling — the systematic separation of conception from execution in twentieth-century industrial and office work — is the direct historical precedent for what AI is doing to cognitive labor. His argument is not merely that workers lost skills; it is that the conceptual content of work was systematically transferred from workers to management and then to machinery, enabling more intensive exploitation of labor by separating it from judgment. The trajectory from hand drafting to AutoCAD to AI-assisted engineering design that the book documents empirically is a Braverman sequence: each step transfers more of the conceptual content of the work from the human to the system, reconfiguring the human's role from author of the work to supervisor of the machine.</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PART TWO: INTELLIGENCE, SEMIOTICS, AND THE WORK OF KNOWING</w:t>
      </w:r>
    </w:p>
    <w:p>
      <w:pPr>
        <w:spacing w:before="0" w:after="160"/>
        <w:ind w:left="0"/>
        <w:jc w:val="both"/>
      </w:pPr>
      <w:r>
        <w:rPr>
          <w:rFonts w:ascii="Times New Roman" w:cs="Times New Roman" w:eastAsia="Times New Roman" w:hAnsi="Times New Roman"/>
          <w:sz w:val="22"/>
          <w:szCs w:val="22"/>
        </w:rPr>
        <w:t xml:space="preserve">If the first part establishes what a commodity is and how things become commodities, this part asks what intelligence is — not as a psychological property but as a social and semiotic one. These sources address how knowledge is produced, managed, circulated, and given value in social life. They provide the theoretical resources for arguing that intelligence, understood in this way, is not simply reducible to computation, and that the claim that it is reflects a specific and consequential semiotic ideology.</w:t>
      </w:r>
    </w:p>
    <w:p>
      <w:pPr>
        <w:pStyle w:val="Heading2"/>
        <w:spacing w:before="360" w:after="120"/>
      </w:pPr>
      <w:r>
        <w:rPr>
          <w:rFonts w:ascii="Arial" w:cs="Arial" w:eastAsia="Arial" w:hAnsi="Arial"/>
          <w:b/>
          <w:bCs/>
          <w:color w:val="2E5F8A"/>
          <w:sz w:val="24"/>
          <w:szCs w:val="24"/>
        </w:rPr>
        <w:t xml:space="preserve">3. Semiotic Ideologies and the Production of Knowledge</w:t>
      </w:r>
    </w:p>
    <w:p>
      <w:pPr>
        <w:spacing w:before="280" w:after="60"/>
        <w:ind w:left="0"/>
      </w:pPr>
      <w:r>
        <w:rPr>
          <w:rFonts w:ascii="Times New Roman" w:cs="Times New Roman" w:eastAsia="Times New Roman" w:hAnsi="Times New Roman"/>
          <w:b/>
          <w:bCs/>
          <w:i/>
          <w:iCs/>
          <w:sz w:val="22"/>
          <w:szCs w:val="22"/>
        </w:rPr>
        <w:t xml:space="preserve">Silverstein, Michael. [Multiple works, 1976–2004]. Key texts: "Shifters, Linguistic Categories, and Cultural Description" (1976); "Indexical Order and the Dialectics of Sociolinguistic Life" (1996).</w:t>
      </w:r>
    </w:p>
    <w:p>
      <w:pPr>
        <w:spacing w:before="0" w:after="160"/>
        <w:ind w:left="0"/>
        <w:jc w:val="both"/>
      </w:pPr>
      <w:r>
        <w:rPr>
          <w:rFonts w:ascii="Times New Roman" w:cs="Times New Roman" w:eastAsia="Times New Roman" w:hAnsi="Times New Roman"/>
          <w:sz w:val="22"/>
          <w:szCs w:val="22"/>
        </w:rPr>
        <w:t xml:space="preserve">Silverstein's framework for indexicality and semiotic ideology is the theoretical spine of the dissertation and remains the book's most important single theoretical resource. A semiotic ideology, in his terms, is a shared set of beliefs about how signs work — which properties of signs are meaningful, which are transparent, which are real. The claim that intelligence is a commodity is, in this sense, a semiotic ideological claim: it asserts that the relevant properties of intelligence are its outputs (which can be standardized and priced), not its origins (which are irreducibly social and historical). The discourse of intelligence-as-utility — "buy intelligence on demand like electricity" — is not a neutral description of a technical reality; it is an ideological act that selects certain features of intelligence as the real ones and renders others invisible. Silverstein gives the tools to analyze this act precisely.</w:t>
      </w:r>
    </w:p>
    <w:p>
      <w:pPr>
        <w:spacing w:before="280" w:after="60"/>
        <w:ind w:left="0"/>
      </w:pPr>
      <w:r>
        <w:rPr>
          <w:rFonts w:ascii="Times New Roman" w:cs="Times New Roman" w:eastAsia="Times New Roman" w:hAnsi="Times New Roman"/>
          <w:b/>
          <w:bCs/>
          <w:i/>
          <w:iCs/>
          <w:sz w:val="22"/>
          <w:szCs w:val="22"/>
        </w:rPr>
        <w:t xml:space="preserve">Peirce, Charles Sanders. 1931–58. Collected Papers. 8 vols. Cambridge: Harvard University Press.</w:t>
      </w:r>
    </w:p>
    <w:p>
      <w:pPr>
        <w:spacing w:before="0" w:after="160"/>
        <w:ind w:left="0"/>
        <w:jc w:val="both"/>
      </w:pPr>
      <w:r>
        <w:rPr>
          <w:rFonts w:ascii="Times New Roman" w:cs="Times New Roman" w:eastAsia="Times New Roman" w:hAnsi="Times New Roman"/>
          <w:sz w:val="22"/>
          <w:szCs w:val="22"/>
        </w:rPr>
        <w:t xml:space="preserve">Peirce appears here for his theory of abductive inference — inference to the best explanation — rather than for the full apparatus of his semiotics. The question of how AI outputs are interpreted as intelligent is an abductive problem: people encounter outputs and infer an intelligent agent behind them. Peirce's analysis of how this kind of inference works, and under what conditions it is valid, is directly relevant to the social life of AI systems. His distinction between icon (resemblance), index (contiguity), and symbol (convention) also provides vocabulary for analyzing the different ways in which AI intelligence is made to seem real — through resemblance to human output, through the institutional contexts in which it is deployed, and through the accumulating conventions of AI interaction.</w:t>
      </w:r>
    </w:p>
    <w:p>
      <w:pPr>
        <w:spacing w:before="280" w:after="60"/>
        <w:ind w:left="0"/>
      </w:pPr>
      <w:r>
        <w:rPr>
          <w:rFonts w:ascii="Times New Roman" w:cs="Times New Roman" w:eastAsia="Times New Roman" w:hAnsi="Times New Roman"/>
          <w:b/>
          <w:bCs/>
          <w:i/>
          <w:iCs/>
          <w:sz w:val="22"/>
          <w:szCs w:val="22"/>
        </w:rPr>
        <w:t xml:space="preserve">Kockelman, Paul. 2017. The Art of Interpretation in the Age of Computation. Oxford: Oxford University Press.</w:t>
      </w:r>
    </w:p>
    <w:p>
      <w:pPr>
        <w:spacing w:before="0" w:after="160"/>
        <w:ind w:left="0"/>
        <w:jc w:val="both"/>
      </w:pPr>
      <w:r>
        <w:rPr>
          <w:rFonts w:ascii="Times New Roman" w:cs="Times New Roman" w:eastAsia="Times New Roman" w:hAnsi="Times New Roman"/>
          <w:sz w:val="22"/>
          <w:szCs w:val="22"/>
        </w:rPr>
        <w:t xml:space="preserve">Kockelman's work bridges the dissertation's semiotic framework and the book's subject matter with unusual directness. His analysis of how computational systems produce and manage interpretations — and how the social embedding of these systems shapes what counts as a meaningful interpretation — is precisely what the book needs for its analysis of AI as an interpretive agent. His concept of "artificial interpreters" and their relationship to the human interpreters they supplement or replace is a conceptual resource that no other source in this bibliography provides in quite this form.</w:t>
      </w:r>
    </w:p>
    <w:p>
      <w:pPr>
        <w:spacing w:before="280" w:after="60"/>
        <w:ind w:left="0"/>
      </w:pPr>
      <w:r>
        <w:rPr>
          <w:rFonts w:ascii="Times New Roman" w:cs="Times New Roman" w:eastAsia="Times New Roman" w:hAnsi="Times New Roman"/>
          <w:b/>
          <w:bCs/>
          <w:i/>
          <w:iCs/>
          <w:sz w:val="22"/>
          <w:szCs w:val="22"/>
        </w:rPr>
        <w:t xml:space="preserve">Simmel, Georg. [1906] 1950. "The Sociology of Secrecy and of Secret Societies." In The Sociology of Georg Simmel, trans. Kurt H. Wolff. Glencoe: Free Press.</w:t>
      </w:r>
    </w:p>
    <w:p>
      <w:pPr>
        <w:spacing w:before="0" w:after="160"/>
        <w:ind w:left="0"/>
        <w:jc w:val="both"/>
      </w:pPr>
      <w:r>
        <w:rPr>
          <w:rFonts w:ascii="Times New Roman" w:cs="Times New Roman" w:eastAsia="Times New Roman" w:hAnsi="Times New Roman"/>
          <w:sz w:val="22"/>
          <w:szCs w:val="22"/>
        </w:rPr>
        <w:t xml:space="preserve">Simmel's concept of non-knowledge — the productive ignorance deliberately cultivated around certain objects, persons, and transactions — runs throughout the dissertation and is directly applicable to the new project. The opacity of AI systems is not merely a technical feature; it is socially and economically productive in Simmel's sense. The black box is a form of manufactured non-knowledge that serves specific interests, and it has specific consequences for how the commodity is experienced and valued. Simmel also appears in the dissertation in the context of the secret society, a formation whose structure — bounded epistemic community, exclusion as condition of value, information asymmetry as power — maps onto the organization of AI development with uncomfortable precision.</w:t>
      </w:r>
    </w:p>
    <w:p>
      <w:pPr>
        <w:pStyle w:val="Heading2"/>
        <w:spacing w:before="360" w:after="120"/>
      </w:pPr>
      <w:r>
        <w:rPr>
          <w:rFonts w:ascii="Arial" w:cs="Arial" w:eastAsia="Arial" w:hAnsi="Arial"/>
          <w:b/>
          <w:bCs/>
          <w:color w:val="2E5F8A"/>
          <w:sz w:val="24"/>
          <w:szCs w:val="24"/>
        </w:rPr>
        <w:t xml:space="preserve">4. Information, Labor, and Invisible Work</w:t>
      </w:r>
    </w:p>
    <w:p>
      <w:pPr>
        <w:spacing w:before="280" w:after="60"/>
        <w:ind w:left="0"/>
      </w:pPr>
      <w:r>
        <w:rPr>
          <w:rFonts w:ascii="Times New Roman" w:cs="Times New Roman" w:eastAsia="Times New Roman" w:hAnsi="Times New Roman"/>
          <w:b/>
          <w:bCs/>
          <w:i/>
          <w:iCs/>
          <w:sz w:val="22"/>
          <w:szCs w:val="22"/>
        </w:rPr>
        <w:t xml:space="preserve">Elyachar, Julia. 2010. "Phatic Labor, Infrastructure, and the Question of Empowerment in Cairo." American Ethnologist 37(3): 452–464. —. 2011. Markets of Dispossession. Durham: Duke University Press.</w:t>
      </w:r>
    </w:p>
    <w:p>
      <w:pPr>
        <w:spacing w:before="0" w:after="160"/>
        <w:ind w:left="0"/>
        <w:jc w:val="both"/>
      </w:pPr>
      <w:r>
        <w:rPr>
          <w:rFonts w:ascii="Times New Roman" w:cs="Times New Roman" w:eastAsia="Times New Roman" w:hAnsi="Times New Roman"/>
          <w:sz w:val="22"/>
          <w:szCs w:val="22"/>
        </w:rPr>
        <w:t xml:space="preserve">Elyachar's concept of "phatic labor" — communicative work that maintains channels of sociality without transmitting specific informational content — is one of the book's most useful analytical tools. Much of what large language models do is, in her sense, phatic: they maintain the appearance of intelligent engagement, produce the rhythms and textures of meaningful exchange, without necessarily transmitting the epistemic content that "intelligence" is supposed to deliver. Her analysis of how informal communicative labor is extracted, channeled, and captured by market forces also maps onto the organization of AI training: the vast quantities of human communicative labor that make AI systems possible are extracted without compensation or attribution, rendered invisible in the commodity form they produce.</w:t>
      </w:r>
    </w:p>
    <w:p>
      <w:pPr>
        <w:spacing w:before="280" w:after="60"/>
        <w:ind w:left="0"/>
      </w:pPr>
      <w:r>
        <w:rPr>
          <w:rFonts w:ascii="Times New Roman" w:cs="Times New Roman" w:eastAsia="Times New Roman" w:hAnsi="Times New Roman"/>
          <w:b/>
          <w:bCs/>
          <w:i/>
          <w:iCs/>
          <w:sz w:val="22"/>
          <w:szCs w:val="22"/>
        </w:rPr>
        <w:t xml:space="preserve">Fredericks, Rosalind. 2017, 2018. Garbage Citizenship: Vital Infrastructures of Labor in Dakar, Senegal. Durham: Duke University Press.</w:t>
      </w:r>
    </w:p>
    <w:p>
      <w:pPr>
        <w:spacing w:before="0" w:after="160"/>
        <w:ind w:left="0"/>
        <w:jc w:val="both"/>
      </w:pPr>
      <w:r>
        <w:rPr>
          <w:rFonts w:ascii="Times New Roman" w:cs="Times New Roman" w:eastAsia="Times New Roman" w:hAnsi="Times New Roman"/>
          <w:sz w:val="22"/>
          <w:szCs w:val="22"/>
        </w:rPr>
        <w:t xml:space="preserve">Fredericks's analysis of the invisible labor that maintains urban infrastructure — and the political consequences of that invisibility — is the template for the book's analysis of AI's hidden workforce. The data labelers in the Philippines, the content moderators in Kenya, the RLHF trainers whose preferences shape model outputs, occupy structurally the same position as the garbage workers of Dakar: their labor is essential, its cessation would make the system collapse, and it is systematically rendered invisible in the commodity form it produces. Fredericks shows not only the structure of this invisibility but the political forms through which it is contested, which gives the book a model for thinking about resistance.</w:t>
      </w:r>
    </w:p>
    <w:p>
      <w:pPr>
        <w:spacing w:before="280" w:after="60"/>
        <w:ind w:left="0"/>
      </w:pPr>
      <w:r>
        <w:rPr>
          <w:rFonts w:ascii="Times New Roman" w:cs="Times New Roman" w:eastAsia="Times New Roman" w:hAnsi="Times New Roman"/>
          <w:b/>
          <w:bCs/>
          <w:i/>
          <w:iCs/>
          <w:sz w:val="22"/>
          <w:szCs w:val="22"/>
        </w:rPr>
        <w:t xml:space="preserve">† di Leonardo, Micaela. 1987. "The Female World of Cards and Holidays: Women, Families, and the Work of Kinship." Signs 12(3): 440–453.</w:t>
      </w:r>
    </w:p>
    <w:p>
      <w:pPr>
        <w:spacing w:before="0" w:after="160"/>
        <w:ind w:left="0"/>
        <w:jc w:val="both"/>
      </w:pPr>
      <w:r>
        <w:rPr>
          <w:rFonts w:ascii="Times New Roman" w:cs="Times New Roman" w:eastAsia="Times New Roman" w:hAnsi="Times New Roman"/>
          <w:sz w:val="22"/>
          <w:szCs w:val="22"/>
        </w:rPr>
        <w:t xml:space="preserve">Di Leonardo's concept of kin work — the feminized, invisible labor of maintaining social relationships and family cohesion — provides a genealogy for the category of cognitive labor that the book is tracking. The history of how certain kinds of mental and communicative work have been systematically devalued, attributed to natural capacity rather than trained skill, and extracted without compensation is a feminist history. The commodification of intelligence is not happening in a vacuum; it is happening in a social field already structured by the devaluation of relational and communicative labor. Di Leonardo makes that structuring visible.</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PART THREE: FUNGIBILITY, ANONYMITY, AND WHAT IS LOST</w:t>
      </w:r>
    </w:p>
    <w:p>
      <w:pPr>
        <w:spacing w:before="0" w:after="160"/>
        <w:ind w:left="0"/>
        <w:jc w:val="both"/>
      </w:pPr>
      <w:r>
        <w:rPr>
          <w:rFonts w:ascii="Times New Roman" w:cs="Times New Roman" w:eastAsia="Times New Roman" w:hAnsi="Times New Roman"/>
          <w:sz w:val="22"/>
          <w:szCs w:val="22"/>
        </w:rPr>
        <w:t xml:space="preserve">The third part moves from the question of what a commodity is and how intelligence works as a social phenomenon, to the specific question of fungibility: what happens when things that resist substitution are made substitutable anyway? These sources think carefully about the consequences of anonymization and abstraction — what is produced in the process, and what is destroyed.</w:t>
      </w:r>
    </w:p>
    <w:p>
      <w:pPr>
        <w:pStyle w:val="Heading2"/>
        <w:spacing w:before="360" w:after="120"/>
      </w:pPr>
      <w:r>
        <w:rPr>
          <w:rFonts w:ascii="Arial" w:cs="Arial" w:eastAsia="Arial" w:hAnsi="Arial"/>
          <w:b/>
          <w:bCs/>
          <w:color w:val="2E5F8A"/>
          <w:sz w:val="24"/>
          <w:szCs w:val="24"/>
        </w:rPr>
        <w:t xml:space="preserve">5. When Things Become Interchangeable</w:t>
      </w:r>
    </w:p>
    <w:p>
      <w:pPr>
        <w:spacing w:before="280" w:after="60"/>
        <w:ind w:left="0"/>
      </w:pPr>
      <w:r>
        <w:rPr>
          <w:rFonts w:ascii="Times New Roman" w:cs="Times New Roman" w:eastAsia="Times New Roman" w:hAnsi="Times New Roman"/>
          <w:b/>
          <w:bCs/>
          <w:i/>
          <w:iCs/>
          <w:sz w:val="22"/>
          <w:szCs w:val="22"/>
        </w:rPr>
        <w:t xml:space="preserve">Cattelino, Jessica. 2009. "Fungibility: Florida Seminole Gaming and the Mirage of Separation." American Anthropologist 111(4): 378–389.</w:t>
      </w:r>
    </w:p>
    <w:p>
      <w:pPr>
        <w:spacing w:before="0" w:after="160"/>
        <w:ind w:left="0"/>
        <w:jc w:val="both"/>
      </w:pPr>
      <w:r>
        <w:rPr>
          <w:rFonts w:ascii="Times New Roman" w:cs="Times New Roman" w:eastAsia="Times New Roman" w:hAnsi="Times New Roman"/>
          <w:sz w:val="22"/>
          <w:szCs w:val="22"/>
        </w:rPr>
        <w:t xml:space="preserve">Cattelino's analysis of fungibility is the most precisely relevant single text in the bibliography. Her argument concerns the Florida Seminole tribe's management of gaming revenue: because money is fungible — a dollar earned from gambling is identical to a dollar earned from any other source — the state continually threatened to treat Seminole gaming revenue as indistinguishable from other tribal funds, undermining the tribe's effort to maintain categorical separations between different kinds of value. Cattelino shows that the fungibility of money is not a neutral technical property but a social and political one, and that communities develop elaborate practices to maintain distinctions that the market logic of fungibility tends to dissolve. The book's argument about intelligence as mass commodity is, in part, an argument about what happens when the fungibility logic of commodity markets is applied to a domain — cognitive capacity — where the distinctions that fungibility dissolves are not trivial but constitutive of social life.</w:t>
      </w:r>
    </w:p>
    <w:p>
      <w:pPr>
        <w:spacing w:before="280" w:after="60"/>
        <w:ind w:left="0"/>
      </w:pPr>
      <w:r>
        <w:rPr>
          <w:rFonts w:ascii="Times New Roman" w:cs="Times New Roman" w:eastAsia="Times New Roman" w:hAnsi="Times New Roman"/>
          <w:b/>
          <w:bCs/>
          <w:i/>
          <w:iCs/>
          <w:sz w:val="22"/>
          <w:szCs w:val="22"/>
        </w:rPr>
        <w:t xml:space="preserve">Laidlaw, James. 1996 and 2000. "A Free Gift Makes No Friends." Journal of the Royal Anthropological Institute 6(4): 617–634.</w:t>
      </w:r>
    </w:p>
    <w:p>
      <w:pPr>
        <w:spacing w:before="0" w:after="160"/>
        <w:ind w:left="0"/>
        <w:jc w:val="both"/>
      </w:pPr>
      <w:r>
        <w:rPr>
          <w:rFonts w:ascii="Times New Roman" w:cs="Times New Roman" w:eastAsia="Times New Roman" w:hAnsi="Times New Roman"/>
          <w:sz w:val="22"/>
          <w:szCs w:val="22"/>
        </w:rPr>
        <w:t xml:space="preserve">Laidlaw's analysis of Jain dana — ritual almsgiving in which the gift must be completely anonymized to achieve its religious purpose — is the closest anthropological parallel to the argument about intelligence as mass commodity, and it was the theoretical pivot of the dissertation. The process by which a personal substance (the householder's food, prepared with care and embedded in specific social relationships) is transformed into an anonymous and undifferentiated substance (alms, which must have no identifiable origin in order to work) is, at the level of logical structure, identical to the process by which human cognitive labor is transformed into AI tokens. The book should make this parallel explicit and press it as far as it will go.</w:t>
      </w:r>
    </w:p>
    <w:p>
      <w:pPr>
        <w:spacing w:before="280" w:after="60"/>
        <w:ind w:left="0"/>
      </w:pPr>
      <w:r>
        <w:rPr>
          <w:rFonts w:ascii="Times New Roman" w:cs="Times New Roman" w:eastAsia="Times New Roman" w:hAnsi="Times New Roman"/>
          <w:b/>
          <w:bCs/>
          <w:i/>
          <w:iCs/>
          <w:sz w:val="22"/>
          <w:szCs w:val="22"/>
        </w:rPr>
        <w:t xml:space="preserve">Munn, Nancy D. 1986. The Fame of Gawa. Cambridge: Cambridge University Press.</w:t>
      </w:r>
    </w:p>
    <w:p>
      <w:pPr>
        <w:spacing w:before="0" w:after="160"/>
        <w:ind w:left="0"/>
        <w:jc w:val="both"/>
      </w:pPr>
      <w:r>
        <w:rPr>
          <w:rFonts w:ascii="Times New Roman" w:cs="Times New Roman" w:eastAsia="Times New Roman" w:hAnsi="Times New Roman"/>
          <w:sz w:val="22"/>
          <w:szCs w:val="22"/>
        </w:rPr>
        <w:t xml:space="preserve">Munn's analysis of value transformation in the Massim kula exchange system — how actions in the present create value that extends across space and forward in time, and how this value is embodied in the reputation (the "fame") of the person who acts — provides the most sophisticated account of what commoditization destroys. Munn's Gawan value is irreducibly personal, temporal, and relational: it is the trace of specific acts performed by specific persons in specific places, extended across the networks of exchange. Commodity value, by contrast, is anonymous, synchronic, and substitutable. The contrast structures one of the book's central arguments about what is lost when intelligence is commodified.</w:t>
      </w:r>
    </w:p>
    <w:p>
      <w:pPr>
        <w:spacing w:before="280" w:after="60"/>
        <w:ind w:left="0"/>
      </w:pPr>
      <w:r>
        <w:rPr>
          <w:rFonts w:ascii="Times New Roman" w:cs="Times New Roman" w:eastAsia="Times New Roman" w:hAnsi="Times New Roman"/>
          <w:b/>
          <w:bCs/>
          <w:i/>
          <w:iCs/>
          <w:sz w:val="22"/>
          <w:szCs w:val="22"/>
        </w:rPr>
        <w:t xml:space="preserve">Guyer, Jane I. 2004. Marginal Gains: Monetary Transactions in Atlantic Africa. Chicago: University of Chicago Press.</w:t>
      </w:r>
    </w:p>
    <w:p>
      <w:pPr>
        <w:spacing w:before="0" w:after="160"/>
        <w:ind w:left="0"/>
        <w:jc w:val="both"/>
      </w:pPr>
      <w:r>
        <w:rPr>
          <w:rFonts w:ascii="Times New Roman" w:cs="Times New Roman" w:eastAsia="Times New Roman" w:hAnsi="Times New Roman"/>
          <w:sz w:val="22"/>
          <w:szCs w:val="22"/>
        </w:rPr>
        <w:t xml:space="preserve">Guyer's analysis of multiple currencies, multiple scales of value, and the temporal dimensions of exchange in Atlantic Africa provides a framework for thinking about the AI intelligence economy that standard economic models cannot supply. Her concept of "marginal gains" — the value that accrues through differential positioning and timing within exchange systems — maps onto the AI token economy in ways that are both analytically useful and politically revealing. Her insistence on the plurality of value scales, and the way that apparently unified market systems actually contain multiple incommensurable logics operating simultaneously, is directly applicable to the current moment in which "intelligence" is being claimed as a single fungible substance while continuing to operate simultaneously as multiple distinct capacities.</w:t>
      </w:r>
    </w:p>
    <w:p>
      <w:pPr>
        <w:pStyle w:val="Heading2"/>
        <w:spacing w:before="360" w:after="120"/>
      </w:pPr>
      <w:r>
        <w:rPr>
          <w:rFonts w:ascii="Arial" w:cs="Arial" w:eastAsia="Arial" w:hAnsi="Arial"/>
          <w:b/>
          <w:bCs/>
          <w:color w:val="2E5F8A"/>
          <w:sz w:val="24"/>
          <w:szCs w:val="24"/>
        </w:rPr>
        <w:t xml:space="preserve">6. Quality, Standard, and What Standardization Erases</w:t>
      </w:r>
    </w:p>
    <w:p>
      <w:pPr>
        <w:spacing w:before="280" w:after="60"/>
        <w:ind w:left="0"/>
      </w:pPr>
      <w:r>
        <w:rPr>
          <w:rFonts w:ascii="Times New Roman" w:cs="Times New Roman" w:eastAsia="Times New Roman" w:hAnsi="Times New Roman"/>
          <w:b/>
          <w:bCs/>
          <w:i/>
          <w:iCs/>
          <w:sz w:val="22"/>
          <w:szCs w:val="22"/>
        </w:rPr>
        <w:t xml:space="preserve">Besky, Sarah. 2016. "The Labor of Terroir and the Terroir of Labor." Agriculture and Human Values 33(1): 107–119. —. 2017. "The Future of Price." Limn 7.</w:t>
      </w:r>
    </w:p>
    <w:p>
      <w:pPr>
        <w:spacing w:before="0" w:after="160"/>
        <w:ind w:left="0"/>
        <w:jc w:val="both"/>
      </w:pPr>
      <w:r>
        <w:rPr>
          <w:rFonts w:ascii="Times New Roman" w:cs="Times New Roman" w:eastAsia="Times New Roman" w:hAnsi="Times New Roman"/>
          <w:sz w:val="22"/>
          <w:szCs w:val="22"/>
        </w:rPr>
        <w:t xml:space="preserve">Besky's work on Darjeeling tea addresses the tension between commoditization (standardization, fungibility, price competition) and differentiation (terroir, origin, the unique qualities that attach to specific places and practices). Her analysis of how the Darjeeling tea industry simultaneously depends on and resists the logic of commodity fungibility — asserting the irreplaceable specificity of its product while participating in global commodity markets — is directly applicable to debates about AI model differentiation. The market is currently organized around the claim that intelligence is becoming fungible (any sufficiently capable model can substitute for any other), while model developers simultaneously invest heavily in claiming irreplaceable distinctiveness. Besky gives the analytical tools for understanding this tension as structural rather than merely rhetorical.</w:t>
      </w:r>
    </w:p>
    <w:p>
      <w:pPr>
        <w:spacing w:before="280" w:after="60"/>
        <w:ind w:left="0"/>
      </w:pPr>
      <w:r>
        <w:rPr>
          <w:rFonts w:ascii="Times New Roman" w:cs="Times New Roman" w:eastAsia="Times New Roman" w:hAnsi="Times New Roman"/>
          <w:b/>
          <w:bCs/>
          <w:i/>
          <w:iCs/>
          <w:sz w:val="22"/>
          <w:szCs w:val="22"/>
        </w:rPr>
        <w:t xml:space="preserve">† Titmuss, Richard M. 1972. The Gift Relationship: From Human Blood to Social Policy. New York: Vintage Books.</w:t>
      </w:r>
    </w:p>
    <w:p>
      <w:pPr>
        <w:spacing w:before="0" w:after="160"/>
        <w:ind w:left="0"/>
        <w:jc w:val="both"/>
      </w:pPr>
      <w:r>
        <w:rPr>
          <w:rFonts w:ascii="Times New Roman" w:cs="Times New Roman" w:eastAsia="Times New Roman" w:hAnsi="Times New Roman"/>
          <w:sz w:val="22"/>
          <w:szCs w:val="22"/>
        </w:rPr>
        <w:t xml:space="preserve">Titmuss's classic study — demonstrating that voluntary blood donation systems produce higher-quality blood than commodity markets, because donors in market systems have incentives to conceal health information — is a direct empirical and theoretical precedent for the book's argument. His finding that commodification degrades quality in systematically predictable ways (by eliminating the social conditions under which quality is maintained) maps onto the argument that commodified intelligence systematically degrades certain qualities of intelligent output. The donor analogy is precise: human cognitive contributors to AI training systems have analogous incentives to conceal or misrepresent the qualities of their contributions when those contributions are purchased rather than given.</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PART FOUR: INFRASTRUCTURE, SCALE, AND THE POLITICS OF ACCESS</w:t>
      </w:r>
    </w:p>
    <w:p>
      <w:pPr>
        <w:spacing w:before="0" w:after="160"/>
        <w:ind w:left="0"/>
        <w:jc w:val="both"/>
      </w:pPr>
      <w:r>
        <w:rPr>
          <w:rFonts w:ascii="Times New Roman" w:cs="Times New Roman" w:eastAsia="Times New Roman" w:hAnsi="Times New Roman"/>
          <w:sz w:val="22"/>
          <w:szCs w:val="22"/>
        </w:rPr>
        <w:t xml:space="preserve">The fourth part addresses the social and political consequences of intelligence becoming infrastructure — what it means for a society when a previously scarce and differentially distributed capacity becomes universally available, on what terms, at what price, and controlled by whom. These sources think about infrastructure not as neutral technical background but as a political and economic achievement with specific beneficiaries and specific costs.</w:t>
      </w:r>
    </w:p>
    <w:p>
      <w:pPr>
        <w:pStyle w:val="Heading2"/>
        <w:spacing w:before="360" w:after="120"/>
      </w:pPr>
      <w:r>
        <w:rPr>
          <w:rFonts w:ascii="Arial" w:cs="Arial" w:eastAsia="Arial" w:hAnsi="Arial"/>
          <w:b/>
          <w:bCs/>
          <w:color w:val="2E5F8A"/>
          <w:sz w:val="24"/>
          <w:szCs w:val="24"/>
        </w:rPr>
        <w:t xml:space="preserve">7. Infrastructure as Politics</w:t>
      </w:r>
    </w:p>
    <w:p>
      <w:pPr>
        <w:spacing w:before="280" w:after="60"/>
        <w:ind w:left="0"/>
      </w:pPr>
      <w:r>
        <w:rPr>
          <w:rFonts w:ascii="Times New Roman" w:cs="Times New Roman" w:eastAsia="Times New Roman" w:hAnsi="Times New Roman"/>
          <w:b/>
          <w:bCs/>
          <w:i/>
          <w:iCs/>
          <w:sz w:val="22"/>
          <w:szCs w:val="22"/>
        </w:rPr>
        <w:t xml:space="preserve">Larkin, Brian. 2013. "The Politics and Poetics of Infrastructure." Annual Review of Anthropology 42: 327–343.</w:t>
      </w:r>
    </w:p>
    <w:p>
      <w:pPr>
        <w:spacing w:before="0" w:after="160"/>
        <w:ind w:left="0"/>
        <w:jc w:val="both"/>
      </w:pPr>
      <w:r>
        <w:rPr>
          <w:rFonts w:ascii="Times New Roman" w:cs="Times New Roman" w:eastAsia="Times New Roman" w:hAnsi="Times New Roman"/>
          <w:sz w:val="22"/>
          <w:szCs w:val="22"/>
        </w:rPr>
        <w:t xml:space="preserve">Larkin's analysis of infrastructure — as simultaneously technical system, political achievement, aesthetic object, and cultural form — provides the conceptual framework for understanding AI as infrastructure in the full sense. His argument that infrastructure has a "poetics" — that it produces affects, desires, and imaginaries in addition to material effects — is directly applicable to the current cultural moment, in which AI is being positioned not merely as a useful tool but as a civilizational transformation, a new condition of possibility for human life. The discourse of intelligence-as-commodity is an infrastructure discourse: it naturalizes a specific political and economic arrangement as the background condition of a new order. Larkin's framework makes the political content of this naturalization visible.</w:t>
      </w:r>
    </w:p>
    <w:p>
      <w:pPr>
        <w:spacing w:before="280" w:after="60"/>
        <w:ind w:left="0"/>
      </w:pPr>
      <w:r>
        <w:rPr>
          <w:rFonts w:ascii="Times New Roman" w:cs="Times New Roman" w:eastAsia="Times New Roman" w:hAnsi="Times New Roman"/>
          <w:b/>
          <w:bCs/>
          <w:i/>
          <w:iCs/>
          <w:sz w:val="22"/>
          <w:szCs w:val="22"/>
        </w:rPr>
        <w:t xml:space="preserve">Simone, AbdouMaliq. 2004. For the City Yet to Come. Durham: Duke University Press.</w:t>
      </w:r>
    </w:p>
    <w:p>
      <w:pPr>
        <w:spacing w:before="0" w:after="160"/>
        <w:ind w:left="0"/>
        <w:jc w:val="both"/>
      </w:pPr>
      <w:r>
        <w:rPr>
          <w:rFonts w:ascii="Times New Roman" w:cs="Times New Roman" w:eastAsia="Times New Roman" w:hAnsi="Times New Roman"/>
          <w:sz w:val="22"/>
          <w:szCs w:val="22"/>
        </w:rPr>
        <w:t xml:space="preserve">Simone's concept of "people as infrastructure" — his observation that in African cities, the formal technical infrastructure of roads, pipes, and cables is supplemented and often replaced by the informal networks of social relation through which people and goods actually move — provides the book's most important counter-concept to the model of intelligence-as-technical-infrastructure. Where Larkin describes infrastructure as technical system, Simone describes infrastructure as social practice. The book's argument is that the commodification of intelligence displaces, and depends upon, the social and relational intelligence that Simone describes: it extracts the outputs of dense human social networks while dissolving the conditions under which those networks are maintained.</w:t>
      </w:r>
    </w:p>
    <w:p>
      <w:pPr>
        <w:spacing w:before="280" w:after="60"/>
        <w:ind w:left="0"/>
      </w:pPr>
      <w:r>
        <w:rPr>
          <w:rFonts w:ascii="Times New Roman" w:cs="Times New Roman" w:eastAsia="Times New Roman" w:hAnsi="Times New Roman"/>
          <w:b/>
          <w:bCs/>
          <w:i/>
          <w:iCs/>
          <w:sz w:val="22"/>
          <w:szCs w:val="22"/>
        </w:rPr>
        <w:t xml:space="preserve">Appel, Hannah. 2012 and 2018. The Licit Life of Capitalism: US Oil in Equatorial Guinea. Durham: Duke University Press.</w:t>
      </w:r>
    </w:p>
    <w:p>
      <w:pPr>
        <w:spacing w:before="0" w:after="160"/>
        <w:ind w:left="0"/>
        <w:jc w:val="both"/>
      </w:pPr>
      <w:r>
        <w:rPr>
          <w:rFonts w:ascii="Times New Roman" w:cs="Times New Roman" w:eastAsia="Times New Roman" w:hAnsi="Times New Roman"/>
          <w:sz w:val="22"/>
          <w:szCs w:val="22"/>
        </w:rPr>
        <w:t xml:space="preserve">Appel's analysis of the "enclave economy" — the way that oil extraction in Equatorial Guinea is organized as a modular, portable technical apparatus that maintains apparent separation from local social relations while depending upon and reshaping them — provides a structural model for analyzing AI cloud infrastructure. The data center, like the oil platform, is organized to appear placeless, ownerless, and socially neutral: a technical system that simply processes inputs and delivers outputs, without politics or history. Appel shows that this appearance of separation is itself a political achievement, produced through specific legal and organizational arrangements that deserve analysis rather than acceptance.</w:t>
      </w:r>
    </w:p>
    <w:p>
      <w:pPr>
        <w:pStyle w:val="Heading2"/>
        <w:spacing w:before="360" w:after="120"/>
      </w:pPr>
      <w:r>
        <w:rPr>
          <w:rFonts w:ascii="Arial" w:cs="Arial" w:eastAsia="Arial" w:hAnsi="Arial"/>
          <w:b/>
          <w:bCs/>
          <w:color w:val="2E5F8A"/>
          <w:sz w:val="24"/>
          <w:szCs w:val="24"/>
        </w:rPr>
        <w:t xml:space="preserve">8. Value, Citizenship, and the Politics of Distribution</w:t>
      </w:r>
    </w:p>
    <w:p>
      <w:pPr>
        <w:spacing w:before="280" w:after="60"/>
        <w:ind w:left="0"/>
      </w:pPr>
      <w:r>
        <w:rPr>
          <w:rFonts w:ascii="Times New Roman" w:cs="Times New Roman" w:eastAsia="Times New Roman" w:hAnsi="Times New Roman"/>
          <w:b/>
          <w:bCs/>
          <w:i/>
          <w:iCs/>
          <w:sz w:val="22"/>
          <w:szCs w:val="22"/>
        </w:rPr>
        <w:t xml:space="preserve">Comaroff, Jean, and John L. Comaroff. 2000. "Millennial Capitalism: First Thoughts on a Second Coming." Public Culture 12(2): 291–343.</w:t>
      </w:r>
    </w:p>
    <w:p>
      <w:pPr>
        <w:spacing w:before="0" w:after="160"/>
        <w:ind w:left="0"/>
        <w:jc w:val="both"/>
      </w:pPr>
      <w:r>
        <w:rPr>
          <w:rFonts w:ascii="Times New Roman" w:cs="Times New Roman" w:eastAsia="Times New Roman" w:hAnsi="Times New Roman"/>
          <w:sz w:val="22"/>
          <w:szCs w:val="22"/>
        </w:rPr>
        <w:t xml:space="preserve">The Comaroffs' analysis of millennial capitalism — characterized by the rise of speculative and occult economies, the magical thinking surrounding new forms of value creation, and the systematic obscuring of the labor that produces wealth — is directly applicable to the current AI investment moment. Their concept of "casino capitalism," in which value appears to emerge from nothing through clever positioning rather than from labor, maps onto the AI economy, in which enormous valuations are attached to systems whose outputs derive from uncompensated human labor. Their framework for analyzing the ideological work done by promises of imminent transformative wealth is essential for the book's critical analysis of AI boosterism.</w:t>
      </w:r>
    </w:p>
    <w:p>
      <w:pPr>
        <w:spacing w:before="280" w:after="60"/>
        <w:ind w:left="0"/>
      </w:pPr>
      <w:r>
        <w:rPr>
          <w:rFonts w:ascii="Times New Roman" w:cs="Times New Roman" w:eastAsia="Times New Roman" w:hAnsi="Times New Roman"/>
          <w:b/>
          <w:bCs/>
          <w:i/>
          <w:iCs/>
          <w:sz w:val="22"/>
          <w:szCs w:val="22"/>
        </w:rPr>
        <w:t xml:space="preserve">Diouf, Mamadou, and Rosalind Fredericks, eds. 2014. The Arts of Citizenship in African Cities. New York: Palgrave.</w:t>
      </w:r>
    </w:p>
    <w:p>
      <w:pPr>
        <w:spacing w:before="0" w:after="160"/>
        <w:ind w:left="0"/>
        <w:jc w:val="both"/>
      </w:pPr>
      <w:r>
        <w:rPr>
          <w:rFonts w:ascii="Times New Roman" w:cs="Times New Roman" w:eastAsia="Times New Roman" w:hAnsi="Times New Roman"/>
          <w:sz w:val="22"/>
          <w:szCs w:val="22"/>
        </w:rPr>
        <w:t xml:space="preserve">The Diouf and Fredericks volume on urban citizenship in African cities situates the question of access to urban infrastructure within a broader politics of belonging and entitlement. Who has access to the city's technical systems, on what terms, and with what consequences for their social standing as citizens — these are the questions the book translates into the context of intelligence as mass commodity. Access to commodified intelligence on unequal terms is not merely an economic question; it is a question of what kind of citizenship is possible in a social order organized around the differential availability of cognitive capacity.</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PART FIVE: THE BODY, THE PERSON, AND THE LIMITS OF ABSTRACTION</w:t>
      </w:r>
    </w:p>
    <w:p>
      <w:pPr>
        <w:spacing w:before="0" w:after="160"/>
        <w:ind w:left="0"/>
        <w:jc w:val="both"/>
      </w:pPr>
      <w:r>
        <w:rPr>
          <w:rFonts w:ascii="Times New Roman" w:cs="Times New Roman" w:eastAsia="Times New Roman" w:hAnsi="Times New Roman"/>
          <w:sz w:val="22"/>
          <w:szCs w:val="22"/>
        </w:rPr>
        <w:t xml:space="preserve">The final part asks what happens to persons — to the human — when intelligence is abstracted from its human origins and made into a commodity. These sources think about personhood, embodiment, and the limits of the logic of substitutability when applied to living beings.</w:t>
      </w:r>
    </w:p>
    <w:p>
      <w:pPr>
        <w:pStyle w:val="Heading2"/>
        <w:spacing w:before="360" w:after="120"/>
      </w:pPr>
      <w:r>
        <w:rPr>
          <w:rFonts w:ascii="Arial" w:cs="Arial" w:eastAsia="Arial" w:hAnsi="Arial"/>
          <w:b/>
          <w:bCs/>
          <w:color w:val="2E5F8A"/>
          <w:sz w:val="24"/>
          <w:szCs w:val="24"/>
        </w:rPr>
        <w:t xml:space="preserve">9. Personhood and Its Commodification</w:t>
      </w:r>
    </w:p>
    <w:p>
      <w:pPr>
        <w:spacing w:before="280" w:after="60"/>
        <w:ind w:left="0"/>
      </w:pPr>
      <w:r>
        <w:rPr>
          <w:rFonts w:ascii="Times New Roman" w:cs="Times New Roman" w:eastAsia="Times New Roman" w:hAnsi="Times New Roman"/>
          <w:b/>
          <w:bCs/>
          <w:i/>
          <w:iCs/>
          <w:sz w:val="22"/>
          <w:szCs w:val="22"/>
        </w:rPr>
        <w:t xml:space="preserve">Nozawa, Shunsuke. 2011, 2012, 2015. Key work: "Characterization." Semiotic Review 3 (2013).</w:t>
      </w:r>
    </w:p>
    <w:p>
      <w:pPr>
        <w:spacing w:before="0" w:after="160"/>
        <w:ind w:left="0"/>
        <w:jc w:val="both"/>
      </w:pPr>
      <w:r>
        <w:rPr>
          <w:rFonts w:ascii="Times New Roman" w:cs="Times New Roman" w:eastAsia="Times New Roman" w:hAnsi="Times New Roman"/>
          <w:sz w:val="22"/>
          <w:szCs w:val="22"/>
        </w:rPr>
        <w:t xml:space="preserve">Nozawa's work on virtual characters and digital personhood — how artificial personalities acquire social reality through iterative interaction, and how the boundary between "character" and "person" is maintained, blurred, and managed — is essential for the book's analysis of AI as social actor. His analysis of how characters are experienced as having preferences, histories, and feelings, even when their interlocutors know they are artificial, provides a framework for understanding the social reality of AI assistants that neither reduces them to mere tools nor naively attributes genuine intelligence to them. The AI character is real as a social phenomenon; the question is what kind of reality it is, and what interests its production serves.</w:t>
      </w:r>
    </w:p>
    <w:p>
      <w:pPr>
        <w:spacing w:before="280" w:after="60"/>
        <w:ind w:left="0"/>
      </w:pPr>
      <w:r>
        <w:rPr>
          <w:rFonts w:ascii="Times New Roman" w:cs="Times New Roman" w:eastAsia="Times New Roman" w:hAnsi="Times New Roman"/>
          <w:b/>
          <w:bCs/>
          <w:i/>
          <w:iCs/>
          <w:sz w:val="22"/>
          <w:szCs w:val="22"/>
        </w:rPr>
        <w:t xml:space="preserve">Gilligan, Carol. 1982. In a Different Voice. Cambridge: Harvard University Press.</w:t>
      </w:r>
    </w:p>
    <w:p>
      <w:pPr>
        <w:spacing w:before="0" w:after="160"/>
        <w:ind w:left="0"/>
        <w:jc w:val="both"/>
      </w:pPr>
      <w:r>
        <w:rPr>
          <w:rFonts w:ascii="Times New Roman" w:cs="Times New Roman" w:eastAsia="Times New Roman" w:hAnsi="Times New Roman"/>
          <w:sz w:val="22"/>
          <w:szCs w:val="22"/>
        </w:rPr>
        <w:t xml:space="preserve">Gilligan's distinction between the ethics of justice (abstract, rule-governed, context-independent) and the ethics of care (relational, contextual, responsive to particular others) maps onto a distinction that runs through the book's argument without always being made explicit: the contrast between commodity intelligence (which operates according to the logic of justice — standard, substitutable, context-independent) and the relational intelligence that the dissertation documented in Dakar (which operates according to the logic of care — embedded in specific relationships, responsive to particular histories). The argument that commodity intelligence embodies a specifically masculine epistemology is a Gilliganesque claim, and it deserves to be made as such.</w:t>
      </w:r>
    </w:p>
    <w:p>
      <w:pPr>
        <w:spacing w:before="280" w:after="60"/>
        <w:ind w:left="0"/>
      </w:pPr>
      <w:r>
        <w:rPr>
          <w:rFonts w:ascii="Times New Roman" w:cs="Times New Roman" w:eastAsia="Times New Roman" w:hAnsi="Times New Roman"/>
          <w:b/>
          <w:bCs/>
          <w:i/>
          <w:iCs/>
          <w:sz w:val="22"/>
          <w:szCs w:val="22"/>
        </w:rPr>
        <w:t xml:space="preserve">† Hochschild, Arlie Russell. 1983. The Managed Heart: Commercialization of Human Feeling. Berkeley: University of California Press.</w:t>
      </w:r>
    </w:p>
    <w:p>
      <w:pPr>
        <w:spacing w:before="0" w:after="160"/>
        <w:ind w:left="0"/>
        <w:jc w:val="both"/>
      </w:pPr>
      <w:r>
        <w:rPr>
          <w:rFonts w:ascii="Times New Roman" w:cs="Times New Roman" w:eastAsia="Times New Roman" w:hAnsi="Times New Roman"/>
          <w:sz w:val="22"/>
          <w:szCs w:val="22"/>
        </w:rPr>
        <w:t xml:space="preserve">Hochschild's analysis of emotional labor — the commodification of affective and relational work in service industries — is one of the closest historical precedents for the commodification of cognitive labor the book describes. Her central finding — that commercializing feeling does not merely change how it is distributed but changes what it is, alienating workers from their own emotional responses and generating specific forms of psychological cost — is directly applicable to the question of what happens when intelligence is commercialized. The book should engage with Hochschild not merely analogically but substantially: the question of whether commodified intelligence retains the qualities of genuine intelligence is structurally identical to her question of whether managed feeling retains the qualities of genuine feeling.</w:t>
      </w:r>
    </w:p>
    <w:p>
      <w:pPr>
        <w:pStyle w:val="Heading2"/>
        <w:spacing w:before="360" w:after="120"/>
      </w:pPr>
      <w:r>
        <w:rPr>
          <w:rFonts w:ascii="Arial" w:cs="Arial" w:eastAsia="Arial" w:hAnsi="Arial"/>
          <w:b/>
          <w:bCs/>
          <w:color w:val="2E5F8A"/>
          <w:sz w:val="24"/>
          <w:szCs w:val="24"/>
        </w:rPr>
        <w:t xml:space="preserve">10. What the Commodity Form Cannot Contain</w:t>
      </w:r>
    </w:p>
    <w:p>
      <w:pPr>
        <w:spacing w:before="280" w:after="60"/>
        <w:ind w:left="0"/>
      </w:pPr>
      <w:r>
        <w:rPr>
          <w:rFonts w:ascii="Times New Roman" w:cs="Times New Roman" w:eastAsia="Times New Roman" w:hAnsi="Times New Roman"/>
          <w:b/>
          <w:bCs/>
          <w:i/>
          <w:iCs/>
          <w:sz w:val="22"/>
          <w:szCs w:val="22"/>
        </w:rPr>
        <w:t xml:space="preserve">Bourdieu, Pierre. 1977. Outline of a Theory of Practice. Trans. Richard Nice. Cambridge: Cambridge University Press.</w:t>
      </w:r>
    </w:p>
    <w:p>
      <w:pPr>
        <w:spacing w:before="0" w:after="160"/>
        <w:ind w:left="0"/>
        <w:jc w:val="both"/>
      </w:pPr>
      <w:r>
        <w:rPr>
          <w:rFonts w:ascii="Times New Roman" w:cs="Times New Roman" w:eastAsia="Times New Roman" w:hAnsi="Times New Roman"/>
          <w:sz w:val="22"/>
          <w:szCs w:val="22"/>
        </w:rPr>
        <w:t xml:space="preserve">Bourdieu appears here for his analysis of the temporal dimensions of exchange — specifically, his argument that the gift economy and the market economy operate according to different temporal logics, and that the "denial of the economy" through which gifts are distinguished from transactions is not false consciousness but a structurally necessary feature of a form of social life that depends on the misrecognition of economic relations. For the book, this argument has a specific implication: the commodification of intelligence is not simply a change in how intelligence is distributed, but a change in its temporal structure. Intelligence produced and consumed in gift-like relationships unfolds over time, in response to specific situations, shaped by ongoing obligations. Commodity intelligence is synchronic, context-independent, and responsive to price signals rather than social ones. Something is lost in this transformation that Bourdieu helps identify with precision.</w:t>
      </w:r>
    </w:p>
    <w:p>
      <w:pPr>
        <w:spacing w:before="280" w:after="60"/>
        <w:ind w:left="0"/>
      </w:pPr>
      <w:r>
        <w:rPr>
          <w:rFonts w:ascii="Times New Roman" w:cs="Times New Roman" w:eastAsia="Times New Roman" w:hAnsi="Times New Roman"/>
          <w:b/>
          <w:bCs/>
          <w:i/>
          <w:iCs/>
          <w:sz w:val="22"/>
          <w:szCs w:val="22"/>
        </w:rPr>
        <w:t xml:space="preserve">Maurer, Bill. 2005. Mutual Life, Limited: Islamic Banking, Alternative Currencies, Lateral Reason. Princeton: Princeton University Press.</w:t>
      </w:r>
    </w:p>
    <w:p>
      <w:pPr>
        <w:spacing w:before="0" w:after="160"/>
        <w:ind w:left="0"/>
        <w:jc w:val="both"/>
      </w:pPr>
      <w:r>
        <w:rPr>
          <w:rFonts w:ascii="Times New Roman" w:cs="Times New Roman" w:eastAsia="Times New Roman" w:hAnsi="Times New Roman"/>
          <w:sz w:val="22"/>
          <w:szCs w:val="22"/>
        </w:rPr>
        <w:t xml:space="preserve">Maurer's anthropology of alternative monetary systems — Islamic finance, local currencies, time banks — examines how people create economic systems that embed transactions in ethical and social frameworks that commodity markets dissolve. His concept of "lateral reason" — the sideways movement between different logics of exchange, refusing to resolve them into a single hierarchy — provides a model for the book's critical stance: not a wholesale rejection of the commodification of intelligence, but an insistence on the irreducibility of the multiple logics it displaces. The book does not argue that intelligence should not be a commodity; it argues that the claim that intelligence is only a commodity is a claim that needs to be resisted on empirical as well as political grounds.</w:t>
      </w:r>
    </w:p>
    <w:p>
      <w:pPr>
        <w:spacing w:before="280" w:after="60"/>
        <w:ind w:left="0"/>
      </w:pPr>
      <w:r>
        <w:rPr>
          <w:rFonts w:ascii="Times New Roman" w:cs="Times New Roman" w:eastAsia="Times New Roman" w:hAnsi="Times New Roman"/>
          <w:b/>
          <w:bCs/>
          <w:i/>
          <w:iCs/>
          <w:sz w:val="22"/>
          <w:szCs w:val="22"/>
        </w:rPr>
        <w:t xml:space="preserve">Pfeil, Gretchen, and Shunsuke Nozawa. 2016. [Full citation to be confirmed.] —. Pfeil, Gretchen. 2012. [Field article, full citation to be confirmed.]</w:t>
      </w:r>
    </w:p>
    <w:p>
      <w:pPr>
        <w:spacing w:before="0" w:after="160"/>
        <w:ind w:left="0"/>
        <w:jc w:val="both"/>
      </w:pPr>
      <w:r>
        <w:rPr>
          <w:rFonts w:ascii="Times New Roman" w:cs="Times New Roman" w:eastAsia="Times New Roman" w:hAnsi="Times New Roman"/>
          <w:sz w:val="22"/>
          <w:szCs w:val="22"/>
        </w:rPr>
        <w:t xml:space="preserve">These earlier publications represent the author's own prior theoretical development of ideas that the book extends. The 2012 field article is cited across three chapters of the dissertation as establishing foundational arguments about almsgiving, anonymity, and the social management of information. The 2016 co-authored piece with Nozawa develops the analysis of digital personhood and character in directions directly relevant to the AI argument. Both should be cited in the new project as the bridge between the dissertation's ethnographic work and the book's broader theoretical claims.</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spacing w:before="480" w:after="180"/>
      </w:pPr>
      <w:r>
        <w:rPr>
          <w:rFonts w:ascii="Arial" w:cs="Arial" w:eastAsia="Arial" w:hAnsi="Arial"/>
          <w:b/>
          <w:bCs/>
          <w:color w:val="2E5F8A"/>
          <w:sz w:val="24"/>
          <w:szCs w:val="24"/>
        </w:rPr>
        <w:t xml:space="preserve">A Note on Method</w:t>
      </w:r>
    </w:p>
    <w:p>
      <w:pPr>
        <w:spacing w:before="0" w:after="160"/>
        <w:ind w:left="0"/>
        <w:jc w:val="both"/>
      </w:pPr>
      <w:r>
        <w:rPr>
          <w:rFonts w:ascii="Times New Roman" w:cs="Times New Roman" w:eastAsia="Times New Roman" w:hAnsi="Times New Roman"/>
          <w:sz w:val="22"/>
          <w:szCs w:val="22"/>
        </w:rPr>
        <w:t xml:space="preserve">The organization of this bibliography is the argument. Sources that appear in the same section are in conversation with each other; the order of sections reflects the order in which the book's claims depend upon one another. A source cited here is not merely evidence for a claim but a partner in the production of one; the annotation describes the nature of that partnership. Where a source has been added to the bibliography since the dissertation — marked with a dagger (†) — the annotation explains what the book requires that the dissertation did not, and why the new source meets that requirement.</w:t>
      </w:r>
    </w:p>
    <w:p>
      <w:pPr>
        <w:spacing w:before="0" w:after="160"/>
        <w:ind w:left="0"/>
        <w:jc w:val="both"/>
      </w:pPr>
      <w:r>
        <w:rPr>
          <w:rFonts w:ascii="Times New Roman" w:cs="Times New Roman" w:eastAsia="Times New Roman" w:hAnsi="Times New Roman"/>
          <w:sz w:val="22"/>
          <w:szCs w:val="22"/>
        </w:rPr>
        <w:t xml:space="preserve">Several sources in the dissertation bibliography have been omitted here because their relevance is ethnographic rather than theoretical — they document specific aspects of Dakar's social world in ways that are essential for the dissertation but do not carry the same weight in a project whose argument operates at a different scale. Their absence from this outline does not mean they will be absent from the book. It means that the work they do there is different from the work catalogued here.</w:t>
      </w:r>
    </w:p>
    <w:p>
      <w:pPr>
        <w:spacing w:before="0" w:after="160"/>
        <w:ind w:left="0"/>
        <w:jc w:val="both"/>
      </w:pPr>
      <w:r>
        <w:rPr>
          <w:rFonts w:ascii="Times New Roman" w:cs="Times New Roman" w:eastAsia="Times New Roman" w:hAnsi="Times New Roman"/>
          <w:sz w:val="22"/>
          <w:szCs w:val="22"/>
        </w:rPr>
        <w:t xml:space="preserve">One source conspicuously absent from the dissertation bibliography appears here only implicitly: the book's subject matter. The growing literature on AI, platform capitalism, and the political economy of technology — Zuboff, Crawford, Pasquale, Couldry and Mejias — is the horizon against which this argument is made, and will be engaged in the book's introduction and conclusion. It is not annotated here because it is not part of the argument's theoretical infrastructure; it is the problem the argument addresses.</w:t>
      </w:r>
    </w:p>
    <w:p>
      <w:pPr>
        <w:spacing w:before="0" w:after="0"/>
      </w:pPr>
      <w:r>
        <w:rPr>
          <w:rFonts w:ascii="Times New Roman" w:cs="Times New Roman" w:eastAsia="Times New Roman" w:hAnsi="Times New Roman"/>
          <w:sz w:val="22"/>
          <w:szCs w:val="22"/>
        </w:rPr>
        <w:t xml:space="preserve"/>
      </w:r>
    </w:p>
    <w:p>
      <w:pPr>
        <w:spacing w:before="0" w:after="0"/>
      </w:pPr>
      <w:r>
        <w:rPr>
          <w:rFonts w:ascii="Times New Roman" w:cs="Times New Roman" w:eastAsia="Times New Roman" w:hAnsi="Times New Roman"/>
          <w:sz w:val="22"/>
          <w:szCs w:val="22"/>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Arial" w:cs="Arial" w:eastAsia="Arial" w:hAnsi="Arial"/>
      <w:b/>
      <w:bCs/>
      <w:color w:val="1F4E79"/>
      <w:sz w:val="28"/>
      <w:szCs w:val="28"/>
    </w:rPr>
  </w:style>
  <w:style w:type="paragraph" w:styleId="Heading2">
    <w:name w:val="Heading 2"/>
    <w:basedOn w:val="Normal"/>
    <w:next w:val="Normal"/>
    <w:pPr>
      <w:spacing w:before="360" w:after="1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2026-03-17T13:29:00.985Z</dcterms:created>
  <dcterms:modified xsi:type="dcterms:W3CDTF">2026-03-17T13:29:00.986Z</dcterms:modified>
</cp:coreProperties>
</file>

<file path=docProps/custom.xml><?xml version="1.0" encoding="utf-8"?>
<Properties xmlns="http://schemas.openxmlformats.org/officeDocument/2006/custom-properties" xmlns:vt="http://schemas.openxmlformats.org/officeDocument/2006/docPropsVTypes"/>
</file>