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5b9bd5"/>
          <w:sz w:val="36"/>
          <w:szCs w:val="36"/>
          <w:highlight w:val="white"/>
          <w:rtl w:val="0"/>
        </w:rPr>
        <w:t xml:space="preserve">Atividade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5b9bd5"/>
          <w:sz w:val="36"/>
          <w:szCs w:val="36"/>
          <w:highlight w:val="white"/>
          <w:rtl w:val="0"/>
        </w:rPr>
        <w:t xml:space="preserve">A linguagem Haskell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Possui variável?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Sim, apesar de por padrão a linguagem usar variáveis imutáveis, é possível declarar variáveis mutáveis (como as usadas em linguagem imperativas)</w:t>
      </w:r>
      <w:r w:rsidDel="00000000" w:rsidR="00000000" w:rsidRPr="00000000">
        <w:rPr>
          <w:color w:val="5b9bd5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b) Como é realizada a declaração de variáveis (tipo, valor, nome,...)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Variáveis padrão (imutáveis) são criadas declarando o identificador da variável, o operador de atribuição &lt;- e uma expressão. Segue exemplo: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5b9bd5"/>
          <w:sz w:val="24"/>
          <w:szCs w:val="24"/>
          <w:highlight w:val="white"/>
          <w:rtl w:val="0"/>
        </w:rPr>
        <w:t xml:space="preserve">nameDo :: IO ()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5b9bd5"/>
          <w:sz w:val="24"/>
          <w:szCs w:val="24"/>
          <w:highlight w:val="white"/>
          <w:rtl w:val="0"/>
        </w:rPr>
        <w:t xml:space="preserve">nameDo = do putStr "What is your first name? "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5b9bd5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4"/>
          <w:szCs w:val="24"/>
          <w:highlight w:val="yellow"/>
          <w:rtl w:val="0"/>
        </w:rPr>
        <w:t xml:space="preserve">name &lt;- getLine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5b9bd5"/>
          <w:sz w:val="24"/>
          <w:szCs w:val="24"/>
          <w:highlight w:val="white"/>
          <w:rtl w:val="0"/>
        </w:rPr>
        <w:t xml:space="preserve">            putStrLn ("Hello " ++ full ++ "!")</w:t>
      </w:r>
    </w:p>
    <w:p w:rsidR="00000000" w:rsidDel="00000000" w:rsidP="00000000" w:rsidRDefault="00000000" w:rsidRPr="00000000">
      <w:pPr>
        <w:ind w:left="-3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Variáveis mutáveis são obtidas e modificadas através de um módulo da biblioteca padrão</w:t>
      </w:r>
      <w:r w:rsidDel="00000000" w:rsidR="00000000" w:rsidRPr="00000000">
        <w:rPr>
          <w:color w:val="5b9bd5"/>
          <w:sz w:val="24"/>
          <w:szCs w:val="24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, que aloca e gerencia um bloco de memória. Segue exemplo: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main :: IO ()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main = do</w:t>
      </w:r>
    </w:p>
    <w:p w:rsidR="00000000" w:rsidDel="00000000" w:rsidP="00000000" w:rsidRDefault="00000000" w:rsidRPr="00000000">
      <w:pPr>
        <w:ind w:left="1680" w:firstLine="48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yellow"/>
          <w:rtl w:val="0"/>
        </w:rPr>
        <w:t xml:space="preserve">ref &lt;- newIORef (0 :: Int)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   </w:t>
        <w:tab/>
        <w:t xml:space="preserve">modifyIORef ref (+1)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   </w:t>
        <w:tab/>
        <w:t xml:space="preserve">readIORef ref &gt;&gt;= print</w:t>
      </w:r>
    </w:p>
    <w:p w:rsidR="00000000" w:rsidDel="00000000" w:rsidP="00000000" w:rsidRDefault="00000000" w:rsidRPr="00000000">
      <w:pPr>
        <w:ind w:left="16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A linguagem possui inferência de tipos, logo não é necessário especificar explicitamente o tipo da variável.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c) Padronização de nome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Ver questão letra ‘e’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d) Tamanho dos identificadores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Através de testes empíricos com o compilador GHC, o tamanho do identificador pode ser gigante.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e) Formato dos identificadores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Identificadores devem começar com uma letra maiúscula, seguido de letras maiúsculas ou minusculas, números, underscores e apóstrofos.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Exemplos de identificadores aceitáveis dentro da linguagem: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24"/>
          <w:szCs w:val="24"/>
          <w:shd w:fill="f1f1f1" w:val="clear"/>
          <w:rtl w:val="0"/>
        </w:rPr>
        <w:t xml:space="preserve">foo     fooBar     f00'b_r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f) Case Sensitive?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Sim, Haskell é uma linguagem Case Sensitive.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g) Palavras especiais (chave e reservadas)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ff9900"/>
          <w:sz w:val="24"/>
          <w:szCs w:val="24"/>
          <w:highlight w:val="white"/>
          <w:rtl w:val="0"/>
        </w:rPr>
        <w:t xml:space="preserve">ase, class, data, deriving, do, else, if, import, in, infix, infixl, infixr, instance, let, of, module, newtype, then, type,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h) Qual é o tempo de vinculação do atributo a variável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R.:</w:t>
      </w: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SimSu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http://stackoverflow.com/questions/993124/does-haskell-have-variables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https://hackage.haskell.org/package/base-4.9.0.0/docs/Data-IORef.html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stackoverflow.com/questions/993124/does-haskell-have-variables" TargetMode="External"/><Relationship Id="rId2" Type="http://schemas.openxmlformats.org/officeDocument/2006/relationships/hyperlink" Target="https://hackage.haskell.org/package/base-4.9.0.0/docs/Data-IORef.html" TargetMode="External"/></Relationships>
</file>