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62EC6" w14:textId="5E734717" w:rsidR="007843D0" w:rsidRPr="007843D0" w:rsidRDefault="007843D0" w:rsidP="007843D0">
      <w:pPr>
        <w:spacing w:before="315" w:after="315" w:line="240" w:lineRule="auto"/>
        <w:outlineLvl w:val="2"/>
        <w:rPr>
          <w:rFonts w:ascii="Arial" w:eastAsia="Times New Roman" w:hAnsi="Arial" w:cs="Arial"/>
          <w:b/>
          <w:bCs/>
          <w:color w:val="164092"/>
          <w:sz w:val="40"/>
          <w:szCs w:val="40"/>
          <w:lang w:eastAsia="fr-FR"/>
        </w:rPr>
      </w:pPr>
      <w:r w:rsidRPr="007843D0">
        <w:rPr>
          <w:rFonts w:ascii="Arial" w:eastAsia="Times New Roman" w:hAnsi="Arial" w:cs="Arial"/>
          <w:b/>
          <w:bCs/>
          <w:color w:val="164092"/>
          <w:sz w:val="40"/>
          <w:szCs w:val="40"/>
          <w:lang w:eastAsia="fr-FR"/>
        </w:rPr>
        <w:t>Nature de l'épreuve</w:t>
      </w:r>
      <w:r w:rsidR="00702F1C" w:rsidRPr="00E561A7">
        <w:rPr>
          <w:rFonts w:ascii="Arial" w:eastAsia="Times New Roman" w:hAnsi="Arial" w:cs="Arial"/>
          <w:b/>
          <w:bCs/>
          <w:color w:val="164092"/>
          <w:sz w:val="40"/>
          <w:szCs w:val="40"/>
          <w:lang w:eastAsia="fr-FR"/>
        </w:rPr>
        <w:t xml:space="preserve"> du Baccal</w:t>
      </w:r>
      <w:r w:rsidR="00E561A7" w:rsidRPr="00E561A7">
        <w:rPr>
          <w:rFonts w:ascii="Arial" w:eastAsia="Times New Roman" w:hAnsi="Arial" w:cs="Arial"/>
          <w:b/>
          <w:bCs/>
          <w:color w:val="164092"/>
          <w:sz w:val="40"/>
          <w:szCs w:val="40"/>
          <w:lang w:eastAsia="fr-FR"/>
        </w:rPr>
        <w:t>auréat</w:t>
      </w:r>
    </w:p>
    <w:p w14:paraId="22BE862B" w14:textId="77777777" w:rsidR="00E561A7"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 xml:space="preserve">L'épreuve terminale obligatoire de spécialité est composée de </w:t>
      </w:r>
      <w:r w:rsidRPr="007843D0">
        <w:rPr>
          <w:rFonts w:ascii="Arial" w:eastAsia="Times New Roman" w:hAnsi="Arial" w:cs="Arial"/>
          <w:b/>
          <w:bCs/>
          <w:color w:val="000000"/>
          <w:sz w:val="21"/>
          <w:szCs w:val="21"/>
          <w:lang w:eastAsia="fr-FR"/>
        </w:rPr>
        <w:t>deux parties</w:t>
      </w:r>
      <w:r w:rsidRPr="007843D0">
        <w:rPr>
          <w:rFonts w:ascii="Arial" w:eastAsia="Times New Roman" w:hAnsi="Arial" w:cs="Arial"/>
          <w:color w:val="000000"/>
          <w:sz w:val="21"/>
          <w:szCs w:val="21"/>
          <w:lang w:eastAsia="fr-FR"/>
        </w:rPr>
        <w:t xml:space="preserve"> : </w:t>
      </w:r>
    </w:p>
    <w:p w14:paraId="592DCEDC" w14:textId="77777777" w:rsidR="00E561A7" w:rsidRDefault="007843D0" w:rsidP="00E561A7">
      <w:pPr>
        <w:pStyle w:val="Paragraphedeliste"/>
        <w:numPr>
          <w:ilvl w:val="0"/>
          <w:numId w:val="3"/>
        </w:numPr>
        <w:spacing w:after="100" w:afterAutospacing="1" w:line="240" w:lineRule="auto"/>
        <w:rPr>
          <w:rFonts w:ascii="Arial" w:eastAsia="Times New Roman" w:hAnsi="Arial" w:cs="Arial"/>
          <w:color w:val="000000"/>
          <w:sz w:val="21"/>
          <w:szCs w:val="21"/>
          <w:lang w:eastAsia="fr-FR"/>
        </w:rPr>
      </w:pPr>
      <w:r w:rsidRPr="00E561A7">
        <w:rPr>
          <w:rFonts w:ascii="Arial" w:eastAsia="Times New Roman" w:hAnsi="Arial" w:cs="Arial"/>
          <w:color w:val="000000"/>
          <w:sz w:val="21"/>
          <w:szCs w:val="21"/>
          <w:lang w:eastAsia="fr-FR"/>
        </w:rPr>
        <w:t xml:space="preserve">une partie </w:t>
      </w:r>
      <w:r w:rsidRPr="00E561A7">
        <w:rPr>
          <w:rFonts w:ascii="Arial" w:eastAsia="Times New Roman" w:hAnsi="Arial" w:cs="Arial"/>
          <w:b/>
          <w:bCs/>
          <w:color w:val="000000"/>
          <w:sz w:val="21"/>
          <w:szCs w:val="21"/>
          <w:lang w:eastAsia="fr-FR"/>
        </w:rPr>
        <w:t>écrite</w:t>
      </w:r>
      <w:r w:rsidRPr="00E561A7">
        <w:rPr>
          <w:rFonts w:ascii="Arial" w:eastAsia="Times New Roman" w:hAnsi="Arial" w:cs="Arial"/>
          <w:color w:val="000000"/>
          <w:sz w:val="21"/>
          <w:szCs w:val="21"/>
          <w:lang w:eastAsia="fr-FR"/>
        </w:rPr>
        <w:t xml:space="preserve">, comptant pour </w:t>
      </w:r>
      <w:r w:rsidRPr="00E561A7">
        <w:rPr>
          <w:rFonts w:ascii="Arial" w:eastAsia="Times New Roman" w:hAnsi="Arial" w:cs="Arial"/>
          <w:b/>
          <w:bCs/>
          <w:color w:val="000000"/>
          <w:sz w:val="21"/>
          <w:szCs w:val="21"/>
          <w:lang w:eastAsia="fr-FR"/>
        </w:rPr>
        <w:t>12 points</w:t>
      </w:r>
      <w:r w:rsidRPr="00E561A7">
        <w:rPr>
          <w:rFonts w:ascii="Arial" w:eastAsia="Times New Roman" w:hAnsi="Arial" w:cs="Arial"/>
          <w:color w:val="000000"/>
          <w:sz w:val="21"/>
          <w:szCs w:val="21"/>
          <w:lang w:eastAsia="fr-FR"/>
        </w:rPr>
        <w:t xml:space="preserve"> sur 20</w:t>
      </w:r>
      <w:r w:rsidR="00E561A7">
        <w:rPr>
          <w:rFonts w:ascii="Arial" w:eastAsia="Times New Roman" w:hAnsi="Arial" w:cs="Arial"/>
          <w:color w:val="000000"/>
          <w:sz w:val="21"/>
          <w:szCs w:val="21"/>
          <w:lang w:eastAsia="fr-FR"/>
        </w:rPr>
        <w:t>,</w:t>
      </w:r>
    </w:p>
    <w:p w14:paraId="381D285D" w14:textId="0B3707AB" w:rsidR="007843D0" w:rsidRPr="00E561A7" w:rsidRDefault="007843D0" w:rsidP="00E561A7">
      <w:pPr>
        <w:pStyle w:val="Paragraphedeliste"/>
        <w:numPr>
          <w:ilvl w:val="0"/>
          <w:numId w:val="3"/>
        </w:numPr>
        <w:spacing w:after="100" w:afterAutospacing="1" w:line="240" w:lineRule="auto"/>
        <w:rPr>
          <w:rFonts w:ascii="Arial" w:eastAsia="Times New Roman" w:hAnsi="Arial" w:cs="Arial"/>
          <w:color w:val="000000"/>
          <w:sz w:val="21"/>
          <w:szCs w:val="21"/>
          <w:lang w:eastAsia="fr-FR"/>
        </w:rPr>
      </w:pPr>
      <w:r w:rsidRPr="00E561A7">
        <w:rPr>
          <w:rFonts w:ascii="Arial" w:eastAsia="Times New Roman" w:hAnsi="Arial" w:cs="Arial"/>
          <w:color w:val="000000"/>
          <w:sz w:val="21"/>
          <w:szCs w:val="21"/>
          <w:lang w:eastAsia="fr-FR"/>
        </w:rPr>
        <w:t xml:space="preserve">une partie </w:t>
      </w:r>
      <w:r w:rsidRPr="00E561A7">
        <w:rPr>
          <w:rFonts w:ascii="Arial" w:eastAsia="Times New Roman" w:hAnsi="Arial" w:cs="Arial"/>
          <w:b/>
          <w:bCs/>
          <w:color w:val="000000"/>
          <w:sz w:val="21"/>
          <w:szCs w:val="21"/>
          <w:lang w:eastAsia="fr-FR"/>
        </w:rPr>
        <w:t>pratique</w:t>
      </w:r>
      <w:r w:rsidRPr="00E561A7">
        <w:rPr>
          <w:rFonts w:ascii="Arial" w:eastAsia="Times New Roman" w:hAnsi="Arial" w:cs="Arial"/>
          <w:color w:val="000000"/>
          <w:sz w:val="21"/>
          <w:szCs w:val="21"/>
          <w:lang w:eastAsia="fr-FR"/>
        </w:rPr>
        <w:t xml:space="preserve"> comptant pour </w:t>
      </w:r>
      <w:r w:rsidRPr="00E561A7">
        <w:rPr>
          <w:rFonts w:ascii="Arial" w:eastAsia="Times New Roman" w:hAnsi="Arial" w:cs="Arial"/>
          <w:b/>
          <w:bCs/>
          <w:color w:val="000000"/>
          <w:sz w:val="21"/>
          <w:szCs w:val="21"/>
          <w:lang w:eastAsia="fr-FR"/>
        </w:rPr>
        <w:t>8 points</w:t>
      </w:r>
      <w:r w:rsidRPr="00E561A7">
        <w:rPr>
          <w:rFonts w:ascii="Arial" w:eastAsia="Times New Roman" w:hAnsi="Arial" w:cs="Arial"/>
          <w:color w:val="000000"/>
          <w:sz w:val="21"/>
          <w:szCs w:val="21"/>
          <w:lang w:eastAsia="fr-FR"/>
        </w:rPr>
        <w:t xml:space="preserve"> sur 20.</w:t>
      </w:r>
    </w:p>
    <w:p w14:paraId="654039E7" w14:textId="77777777" w:rsidR="00E561A7" w:rsidRDefault="007843D0" w:rsidP="00E561A7">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 xml:space="preserve">La note globale de l'épreuve est donnée sur </w:t>
      </w:r>
      <w:r w:rsidRPr="007843D0">
        <w:rPr>
          <w:rFonts w:ascii="Arial" w:eastAsia="Times New Roman" w:hAnsi="Arial" w:cs="Arial"/>
          <w:b/>
          <w:bCs/>
          <w:color w:val="000000"/>
          <w:sz w:val="21"/>
          <w:szCs w:val="21"/>
          <w:lang w:eastAsia="fr-FR"/>
        </w:rPr>
        <w:t>20 points</w:t>
      </w:r>
      <w:r w:rsidRPr="007843D0">
        <w:rPr>
          <w:rFonts w:ascii="Arial" w:eastAsia="Times New Roman" w:hAnsi="Arial" w:cs="Arial"/>
          <w:color w:val="000000"/>
          <w:sz w:val="21"/>
          <w:szCs w:val="21"/>
          <w:lang w:eastAsia="fr-FR"/>
        </w:rPr>
        <w:t>.</w:t>
      </w:r>
    </w:p>
    <w:p w14:paraId="59A6C9DE" w14:textId="007D62B4" w:rsidR="007843D0" w:rsidRPr="007843D0" w:rsidRDefault="007843D0" w:rsidP="00E561A7">
      <w:pPr>
        <w:spacing w:after="100" w:afterAutospacing="1" w:line="240" w:lineRule="auto"/>
        <w:rPr>
          <w:rFonts w:ascii="Arial" w:eastAsia="Times New Roman" w:hAnsi="Arial" w:cs="Arial"/>
          <w:sz w:val="36"/>
          <w:szCs w:val="36"/>
          <w:lang w:eastAsia="fr-FR"/>
        </w:rPr>
      </w:pPr>
      <w:r w:rsidRPr="007843D0">
        <w:rPr>
          <w:rFonts w:ascii="Arial" w:eastAsia="Times New Roman" w:hAnsi="Arial" w:cs="Arial"/>
          <w:sz w:val="36"/>
          <w:szCs w:val="36"/>
          <w:lang w:eastAsia="fr-FR"/>
        </w:rPr>
        <w:t>1. Partie écrite</w:t>
      </w:r>
    </w:p>
    <w:p w14:paraId="6E9B29EE" w14:textId="77777777" w:rsidR="007843D0" w:rsidRPr="007843D0" w:rsidRDefault="007843D0" w:rsidP="007843D0">
      <w:pPr>
        <w:spacing w:after="100" w:afterAutospacing="1" w:line="240" w:lineRule="auto"/>
        <w:rPr>
          <w:rFonts w:ascii="Arial" w:eastAsia="Times New Roman" w:hAnsi="Arial" w:cs="Arial"/>
          <w:i/>
          <w:iCs/>
          <w:color w:val="000000"/>
          <w:sz w:val="21"/>
          <w:szCs w:val="21"/>
          <w:lang w:eastAsia="fr-FR"/>
        </w:rPr>
      </w:pPr>
      <w:r w:rsidRPr="007843D0">
        <w:rPr>
          <w:rFonts w:ascii="Arial" w:eastAsia="Times New Roman" w:hAnsi="Arial" w:cs="Arial"/>
          <w:i/>
          <w:iCs/>
          <w:color w:val="000000"/>
          <w:sz w:val="21"/>
          <w:szCs w:val="21"/>
          <w:lang w:eastAsia="fr-FR"/>
        </w:rPr>
        <w:t>Durée : 3 heures 30</w:t>
      </w:r>
    </w:p>
    <w:p w14:paraId="51A478F6" w14:textId="77777777" w:rsidR="007843D0" w:rsidRPr="007843D0" w:rsidRDefault="007843D0" w:rsidP="00E561A7">
      <w:pPr>
        <w:spacing w:before="315" w:after="315" w:line="240" w:lineRule="auto"/>
        <w:outlineLvl w:val="2"/>
        <w:rPr>
          <w:rFonts w:ascii="Arial" w:eastAsia="Times New Roman" w:hAnsi="Arial" w:cs="Arial"/>
          <w:b/>
          <w:bCs/>
          <w:color w:val="164092"/>
          <w:sz w:val="27"/>
          <w:szCs w:val="27"/>
          <w:lang w:eastAsia="fr-FR"/>
        </w:rPr>
      </w:pPr>
      <w:r w:rsidRPr="007843D0">
        <w:rPr>
          <w:rFonts w:ascii="Arial" w:eastAsia="Times New Roman" w:hAnsi="Arial" w:cs="Arial"/>
          <w:b/>
          <w:bCs/>
          <w:color w:val="164092"/>
          <w:sz w:val="27"/>
          <w:szCs w:val="27"/>
          <w:lang w:eastAsia="fr-FR"/>
        </w:rPr>
        <w:t>Modalités</w:t>
      </w:r>
    </w:p>
    <w:p w14:paraId="2DC1459E" w14:textId="77777777" w:rsidR="007843D0" w:rsidRPr="007843D0"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 xml:space="preserve">La partie écrite consiste en la résolution de </w:t>
      </w:r>
      <w:r w:rsidRPr="007843D0">
        <w:rPr>
          <w:rFonts w:ascii="Arial" w:eastAsia="Times New Roman" w:hAnsi="Arial" w:cs="Arial"/>
          <w:b/>
          <w:bCs/>
          <w:color w:val="000000"/>
          <w:sz w:val="21"/>
          <w:szCs w:val="21"/>
          <w:lang w:eastAsia="fr-FR"/>
        </w:rPr>
        <w:t>trois exercices</w:t>
      </w:r>
      <w:r w:rsidRPr="007843D0">
        <w:rPr>
          <w:rFonts w:ascii="Arial" w:eastAsia="Times New Roman" w:hAnsi="Arial" w:cs="Arial"/>
          <w:color w:val="000000"/>
          <w:sz w:val="21"/>
          <w:szCs w:val="21"/>
          <w:lang w:eastAsia="fr-FR"/>
        </w:rPr>
        <w:t xml:space="preserve"> permettant d'évaluer les connaissances et les capacités attendues conformément aux programmes de première et de terminale de la spécialité. Chaque exercice est noté sur </w:t>
      </w:r>
      <w:r w:rsidRPr="007843D0">
        <w:rPr>
          <w:rFonts w:ascii="Arial" w:eastAsia="Times New Roman" w:hAnsi="Arial" w:cs="Arial"/>
          <w:b/>
          <w:bCs/>
          <w:color w:val="000000"/>
          <w:sz w:val="21"/>
          <w:szCs w:val="21"/>
          <w:lang w:eastAsia="fr-FR"/>
        </w:rPr>
        <w:t>4 points</w:t>
      </w:r>
      <w:r w:rsidRPr="007843D0">
        <w:rPr>
          <w:rFonts w:ascii="Arial" w:eastAsia="Times New Roman" w:hAnsi="Arial" w:cs="Arial"/>
          <w:color w:val="000000"/>
          <w:sz w:val="21"/>
          <w:szCs w:val="21"/>
          <w:lang w:eastAsia="fr-FR"/>
        </w:rPr>
        <w:t>.</w:t>
      </w:r>
    </w:p>
    <w:p w14:paraId="53936AF6" w14:textId="77777777" w:rsidR="00E561A7"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 xml:space="preserve">Le sujet propose </w:t>
      </w:r>
      <w:r w:rsidRPr="007843D0">
        <w:rPr>
          <w:rFonts w:ascii="Arial" w:eastAsia="Times New Roman" w:hAnsi="Arial" w:cs="Arial"/>
          <w:b/>
          <w:bCs/>
          <w:color w:val="000000"/>
          <w:sz w:val="21"/>
          <w:szCs w:val="21"/>
          <w:lang w:eastAsia="fr-FR"/>
        </w:rPr>
        <w:t>cinq exercices</w:t>
      </w:r>
      <w:r w:rsidRPr="007843D0">
        <w:rPr>
          <w:rFonts w:ascii="Arial" w:eastAsia="Times New Roman" w:hAnsi="Arial" w:cs="Arial"/>
          <w:color w:val="000000"/>
          <w:sz w:val="21"/>
          <w:szCs w:val="21"/>
          <w:lang w:eastAsia="fr-FR"/>
        </w:rPr>
        <w:t xml:space="preserve">, parmi lesquels le candidat </w:t>
      </w:r>
      <w:r w:rsidRPr="007843D0">
        <w:rPr>
          <w:rFonts w:ascii="Arial" w:eastAsia="Times New Roman" w:hAnsi="Arial" w:cs="Arial"/>
          <w:b/>
          <w:bCs/>
          <w:color w:val="000000"/>
          <w:sz w:val="21"/>
          <w:szCs w:val="21"/>
          <w:lang w:eastAsia="fr-FR"/>
        </w:rPr>
        <w:t>choisit les trois qu'il traitera</w:t>
      </w:r>
      <w:r w:rsidRPr="007843D0">
        <w:rPr>
          <w:rFonts w:ascii="Arial" w:eastAsia="Times New Roman" w:hAnsi="Arial" w:cs="Arial"/>
          <w:color w:val="000000"/>
          <w:sz w:val="21"/>
          <w:szCs w:val="21"/>
          <w:lang w:eastAsia="fr-FR"/>
        </w:rPr>
        <w:t xml:space="preserve">. Ces cinq exercices permettent d'aborder les différentes rubriques du programme, sans obligation d'exhaustivité. Le sujet comprend obligatoirement au moins un exercice relatif à chacune des trois rubriques suivantes : </w:t>
      </w:r>
    </w:p>
    <w:p w14:paraId="10980993" w14:textId="77777777" w:rsidR="00E561A7" w:rsidRDefault="007843D0" w:rsidP="007843D0">
      <w:pPr>
        <w:pStyle w:val="Paragraphedeliste"/>
        <w:numPr>
          <w:ilvl w:val="0"/>
          <w:numId w:val="3"/>
        </w:numPr>
        <w:spacing w:after="100" w:afterAutospacing="1" w:line="240" w:lineRule="auto"/>
        <w:rPr>
          <w:rFonts w:ascii="Arial" w:eastAsia="Times New Roman" w:hAnsi="Arial" w:cs="Arial"/>
          <w:color w:val="000000"/>
          <w:sz w:val="21"/>
          <w:szCs w:val="21"/>
          <w:lang w:eastAsia="fr-FR"/>
        </w:rPr>
      </w:pPr>
      <w:r w:rsidRPr="00E561A7">
        <w:rPr>
          <w:rFonts w:ascii="Arial" w:eastAsia="Times New Roman" w:hAnsi="Arial" w:cs="Arial"/>
          <w:color w:val="000000"/>
          <w:sz w:val="21"/>
          <w:szCs w:val="21"/>
          <w:lang w:eastAsia="fr-FR"/>
        </w:rPr>
        <w:t xml:space="preserve">traitement de données en tables et bases de données ; </w:t>
      </w:r>
    </w:p>
    <w:p w14:paraId="2F2C115C" w14:textId="77777777" w:rsidR="00972126" w:rsidRDefault="007843D0" w:rsidP="007843D0">
      <w:pPr>
        <w:pStyle w:val="Paragraphedeliste"/>
        <w:numPr>
          <w:ilvl w:val="0"/>
          <w:numId w:val="3"/>
        </w:numPr>
        <w:spacing w:after="100" w:afterAutospacing="1" w:line="240" w:lineRule="auto"/>
        <w:rPr>
          <w:rFonts w:ascii="Arial" w:eastAsia="Times New Roman" w:hAnsi="Arial" w:cs="Arial"/>
          <w:color w:val="000000"/>
          <w:sz w:val="21"/>
          <w:szCs w:val="21"/>
          <w:lang w:eastAsia="fr-FR"/>
        </w:rPr>
      </w:pPr>
      <w:r w:rsidRPr="00E561A7">
        <w:rPr>
          <w:rFonts w:ascii="Arial" w:eastAsia="Times New Roman" w:hAnsi="Arial" w:cs="Arial"/>
          <w:color w:val="000000"/>
          <w:sz w:val="21"/>
          <w:szCs w:val="21"/>
          <w:lang w:eastAsia="fr-FR"/>
        </w:rPr>
        <w:t xml:space="preserve">architectures matérielles, systèmes d'exploitation et réseaux ; </w:t>
      </w:r>
    </w:p>
    <w:p w14:paraId="6A98867A" w14:textId="64DA8BA4" w:rsidR="007843D0" w:rsidRPr="00E561A7" w:rsidRDefault="007843D0" w:rsidP="007843D0">
      <w:pPr>
        <w:pStyle w:val="Paragraphedeliste"/>
        <w:numPr>
          <w:ilvl w:val="0"/>
          <w:numId w:val="3"/>
        </w:numPr>
        <w:spacing w:after="100" w:afterAutospacing="1" w:line="240" w:lineRule="auto"/>
        <w:rPr>
          <w:rFonts w:ascii="Arial" w:eastAsia="Times New Roman" w:hAnsi="Arial" w:cs="Arial"/>
          <w:color w:val="000000"/>
          <w:sz w:val="21"/>
          <w:szCs w:val="21"/>
          <w:lang w:eastAsia="fr-FR"/>
        </w:rPr>
      </w:pPr>
      <w:r w:rsidRPr="00E561A7">
        <w:rPr>
          <w:rFonts w:ascii="Arial" w:eastAsia="Times New Roman" w:hAnsi="Arial" w:cs="Arial"/>
          <w:color w:val="000000"/>
          <w:sz w:val="21"/>
          <w:szCs w:val="21"/>
          <w:lang w:eastAsia="fr-FR"/>
        </w:rPr>
        <w:t>algorithmique, langages et programmation.</w:t>
      </w:r>
    </w:p>
    <w:p w14:paraId="3D101645" w14:textId="77777777" w:rsidR="00E561A7" w:rsidRDefault="007843D0" w:rsidP="00E561A7">
      <w:pPr>
        <w:spacing w:before="450" w:after="450" w:line="240" w:lineRule="auto"/>
        <w:outlineLvl w:val="1"/>
        <w:rPr>
          <w:rFonts w:ascii="Arial" w:eastAsia="Times New Roman" w:hAnsi="Arial" w:cs="Arial"/>
          <w:sz w:val="36"/>
          <w:szCs w:val="36"/>
          <w:lang w:eastAsia="fr-FR"/>
        </w:rPr>
      </w:pPr>
      <w:r w:rsidRPr="007843D0">
        <w:rPr>
          <w:rFonts w:ascii="Arial" w:eastAsia="Times New Roman" w:hAnsi="Arial" w:cs="Arial"/>
          <w:sz w:val="36"/>
          <w:szCs w:val="36"/>
          <w:lang w:eastAsia="fr-FR"/>
        </w:rPr>
        <w:t>2. Partie pratique</w:t>
      </w:r>
    </w:p>
    <w:p w14:paraId="050BB3FA" w14:textId="0AF6E732" w:rsidR="00E561A7" w:rsidRDefault="007843D0" w:rsidP="00E561A7">
      <w:pPr>
        <w:spacing w:before="450" w:after="450" w:line="240" w:lineRule="auto"/>
        <w:outlineLvl w:val="1"/>
        <w:rPr>
          <w:rFonts w:ascii="Arial" w:eastAsia="Times New Roman" w:hAnsi="Arial" w:cs="Arial"/>
          <w:i/>
          <w:iCs/>
          <w:color w:val="000000"/>
          <w:sz w:val="21"/>
          <w:szCs w:val="21"/>
          <w:lang w:eastAsia="fr-FR"/>
        </w:rPr>
      </w:pPr>
      <w:r w:rsidRPr="007843D0">
        <w:rPr>
          <w:rFonts w:ascii="Arial" w:eastAsia="Times New Roman" w:hAnsi="Arial" w:cs="Arial"/>
          <w:i/>
          <w:iCs/>
          <w:color w:val="000000"/>
          <w:sz w:val="21"/>
          <w:szCs w:val="21"/>
          <w:lang w:eastAsia="fr-FR"/>
        </w:rPr>
        <w:t>Durée : 1 heure</w:t>
      </w:r>
    </w:p>
    <w:p w14:paraId="6AB89CBC" w14:textId="4CEEED20" w:rsidR="007843D0" w:rsidRPr="007843D0" w:rsidRDefault="007843D0" w:rsidP="00E561A7">
      <w:pPr>
        <w:spacing w:before="450" w:after="450" w:line="240" w:lineRule="auto"/>
        <w:outlineLvl w:val="1"/>
        <w:rPr>
          <w:rFonts w:ascii="Arial" w:eastAsia="Times New Roman" w:hAnsi="Arial" w:cs="Arial"/>
          <w:b/>
          <w:bCs/>
          <w:color w:val="164092"/>
          <w:sz w:val="27"/>
          <w:szCs w:val="27"/>
          <w:lang w:eastAsia="fr-FR"/>
        </w:rPr>
      </w:pPr>
      <w:r w:rsidRPr="007843D0">
        <w:rPr>
          <w:rFonts w:ascii="Arial" w:eastAsia="Times New Roman" w:hAnsi="Arial" w:cs="Arial"/>
          <w:b/>
          <w:bCs/>
          <w:color w:val="164092"/>
          <w:sz w:val="27"/>
          <w:szCs w:val="27"/>
          <w:lang w:eastAsia="fr-FR"/>
        </w:rPr>
        <w:t>Modalités</w:t>
      </w:r>
    </w:p>
    <w:p w14:paraId="4761C10C" w14:textId="77777777" w:rsidR="007843D0" w:rsidRPr="007843D0"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 xml:space="preserve">La partie pratique consiste en la résolution de </w:t>
      </w:r>
      <w:r w:rsidRPr="007843D0">
        <w:rPr>
          <w:rFonts w:ascii="Arial" w:eastAsia="Times New Roman" w:hAnsi="Arial" w:cs="Arial"/>
          <w:b/>
          <w:bCs/>
          <w:color w:val="000000"/>
          <w:sz w:val="21"/>
          <w:szCs w:val="21"/>
          <w:lang w:eastAsia="fr-FR"/>
        </w:rPr>
        <w:t>deux exercices sur ordinateur</w:t>
      </w:r>
      <w:r w:rsidRPr="007843D0">
        <w:rPr>
          <w:rFonts w:ascii="Arial" w:eastAsia="Times New Roman" w:hAnsi="Arial" w:cs="Arial"/>
          <w:color w:val="000000"/>
          <w:sz w:val="21"/>
          <w:szCs w:val="21"/>
          <w:lang w:eastAsia="fr-FR"/>
        </w:rPr>
        <w:t xml:space="preserve">, chacun étant noté sur </w:t>
      </w:r>
      <w:r w:rsidRPr="007843D0">
        <w:rPr>
          <w:rFonts w:ascii="Arial" w:eastAsia="Times New Roman" w:hAnsi="Arial" w:cs="Arial"/>
          <w:b/>
          <w:bCs/>
          <w:color w:val="000000"/>
          <w:sz w:val="21"/>
          <w:szCs w:val="21"/>
          <w:lang w:eastAsia="fr-FR"/>
        </w:rPr>
        <w:t>4 points</w:t>
      </w:r>
      <w:r w:rsidRPr="007843D0">
        <w:rPr>
          <w:rFonts w:ascii="Arial" w:eastAsia="Times New Roman" w:hAnsi="Arial" w:cs="Arial"/>
          <w:color w:val="000000"/>
          <w:sz w:val="21"/>
          <w:szCs w:val="21"/>
          <w:lang w:eastAsia="fr-FR"/>
        </w:rPr>
        <w:t>.</w:t>
      </w:r>
    </w:p>
    <w:p w14:paraId="0C37C0A8" w14:textId="77777777" w:rsidR="007843D0" w:rsidRPr="007843D0"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 xml:space="preserve">Le candidat est évalué sur la base d'un </w:t>
      </w:r>
      <w:r w:rsidRPr="007843D0">
        <w:rPr>
          <w:rFonts w:ascii="Arial" w:eastAsia="Times New Roman" w:hAnsi="Arial" w:cs="Arial"/>
          <w:b/>
          <w:bCs/>
          <w:color w:val="000000"/>
          <w:sz w:val="21"/>
          <w:szCs w:val="21"/>
          <w:lang w:eastAsia="fr-FR"/>
        </w:rPr>
        <w:t>dialogue avec un professeur-examinateur</w:t>
      </w:r>
      <w:r w:rsidRPr="007843D0">
        <w:rPr>
          <w:rFonts w:ascii="Arial" w:eastAsia="Times New Roman" w:hAnsi="Arial" w:cs="Arial"/>
          <w:color w:val="000000"/>
          <w:sz w:val="21"/>
          <w:szCs w:val="21"/>
          <w:lang w:eastAsia="fr-FR"/>
        </w:rPr>
        <w:t>. Un examinateur évalue au maximum quatre élèves. L'examinateur ne peut pas évaluer un élève qu'il a eu en classe durant l'année en cours.</w:t>
      </w:r>
    </w:p>
    <w:p w14:paraId="51E69198" w14:textId="77777777" w:rsidR="007843D0" w:rsidRPr="007843D0"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 xml:space="preserve">L'évaluation de cette partie se déroule au cours du deuxième trimestre </w:t>
      </w:r>
      <w:r w:rsidRPr="007843D0">
        <w:rPr>
          <w:rFonts w:ascii="Arial" w:eastAsia="Times New Roman" w:hAnsi="Arial" w:cs="Arial"/>
          <w:b/>
          <w:bCs/>
          <w:color w:val="000000"/>
          <w:sz w:val="21"/>
          <w:szCs w:val="21"/>
          <w:lang w:eastAsia="fr-FR"/>
        </w:rPr>
        <w:t>pendant la période de l'épreuve écrite</w:t>
      </w:r>
      <w:r w:rsidRPr="007843D0">
        <w:rPr>
          <w:rFonts w:ascii="Arial" w:eastAsia="Times New Roman" w:hAnsi="Arial" w:cs="Arial"/>
          <w:color w:val="000000"/>
          <w:sz w:val="21"/>
          <w:szCs w:val="21"/>
          <w:lang w:eastAsia="fr-FR"/>
        </w:rPr>
        <w:t xml:space="preserve"> de spécialité.</w:t>
      </w:r>
    </w:p>
    <w:p w14:paraId="156C66A3" w14:textId="77777777" w:rsidR="007843D0" w:rsidRPr="007843D0" w:rsidRDefault="007843D0" w:rsidP="007843D0">
      <w:pPr>
        <w:numPr>
          <w:ilvl w:val="0"/>
          <w:numId w:val="1"/>
        </w:numPr>
        <w:spacing w:before="100" w:beforeAutospacing="1" w:after="90" w:line="240" w:lineRule="auto"/>
        <w:rPr>
          <w:rFonts w:ascii="Arial" w:eastAsia="Times New Roman" w:hAnsi="Arial" w:cs="Arial"/>
          <w:color w:val="000000"/>
          <w:sz w:val="21"/>
          <w:szCs w:val="21"/>
          <w:lang w:eastAsia="fr-FR"/>
        </w:rPr>
      </w:pPr>
      <w:r w:rsidRPr="007843D0">
        <w:rPr>
          <w:rFonts w:ascii="Arial" w:eastAsia="Times New Roman" w:hAnsi="Arial" w:cs="Arial"/>
          <w:b/>
          <w:bCs/>
          <w:color w:val="000000"/>
          <w:sz w:val="21"/>
          <w:szCs w:val="21"/>
          <w:lang w:eastAsia="fr-FR"/>
        </w:rPr>
        <w:t>Premier exercice</w:t>
      </w:r>
    </w:p>
    <w:p w14:paraId="7AAA3CB3" w14:textId="77777777" w:rsidR="007843D0" w:rsidRPr="007843D0"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Le premier exercice consiste à programmer un algorithme figurant explicitement au programme, ne présentant pas de difficulté particulière, dont on fournit une spécification. Il s'agit donc de restituer un algorithme rencontré et travaillé à plusieurs reprises en cours de formation. Le sujet peut proposer un jeu de test avec les réponses attendues pour permettre au candidat de vérifier son travail.</w:t>
      </w:r>
    </w:p>
    <w:p w14:paraId="6FE795C9" w14:textId="77777777" w:rsidR="007843D0" w:rsidRPr="007843D0" w:rsidRDefault="007843D0" w:rsidP="007843D0">
      <w:pPr>
        <w:numPr>
          <w:ilvl w:val="0"/>
          <w:numId w:val="2"/>
        </w:numPr>
        <w:spacing w:before="100" w:beforeAutospacing="1" w:after="90" w:line="240" w:lineRule="auto"/>
        <w:rPr>
          <w:rFonts w:ascii="Arial" w:eastAsia="Times New Roman" w:hAnsi="Arial" w:cs="Arial"/>
          <w:color w:val="000000"/>
          <w:sz w:val="21"/>
          <w:szCs w:val="21"/>
          <w:lang w:eastAsia="fr-FR"/>
        </w:rPr>
      </w:pPr>
      <w:r w:rsidRPr="007843D0">
        <w:rPr>
          <w:rFonts w:ascii="Arial" w:eastAsia="Times New Roman" w:hAnsi="Arial" w:cs="Arial"/>
          <w:b/>
          <w:bCs/>
          <w:color w:val="000000"/>
          <w:sz w:val="21"/>
          <w:szCs w:val="21"/>
          <w:lang w:eastAsia="fr-FR"/>
        </w:rPr>
        <w:t>Deuxième exercice</w:t>
      </w:r>
    </w:p>
    <w:p w14:paraId="226A3C7A" w14:textId="77777777" w:rsidR="007843D0" w:rsidRPr="007843D0" w:rsidRDefault="007843D0" w:rsidP="007843D0">
      <w:pPr>
        <w:spacing w:after="100" w:afterAutospacing="1" w:line="240" w:lineRule="auto"/>
        <w:rPr>
          <w:rFonts w:ascii="Arial" w:eastAsia="Times New Roman" w:hAnsi="Arial" w:cs="Arial"/>
          <w:color w:val="000000"/>
          <w:sz w:val="21"/>
          <w:szCs w:val="21"/>
          <w:lang w:eastAsia="fr-FR"/>
        </w:rPr>
      </w:pPr>
      <w:r w:rsidRPr="007843D0">
        <w:rPr>
          <w:rFonts w:ascii="Arial" w:eastAsia="Times New Roman" w:hAnsi="Arial" w:cs="Arial"/>
          <w:color w:val="000000"/>
          <w:sz w:val="21"/>
          <w:szCs w:val="21"/>
          <w:lang w:eastAsia="fr-FR"/>
        </w:rPr>
        <w:t>Pour le second exercice, un programme est fourni au candidat. Cet exercice ne demande pas l'écriture complète d'un programme, mais permet de valider des compétences de programmation suivant des modalités variées : le candidat doit, par exemple, compléter un programme « à trous » afin de répondre à une spécification donnée, ou encore compléter un programme pour le documenter, ou encore compléter un programme en ajoutant des assertions, etc.</w:t>
      </w:r>
    </w:p>
    <w:p w14:paraId="35AD9CCA" w14:textId="6E254D3C" w:rsidR="007843D0" w:rsidRPr="007843D0" w:rsidRDefault="007843D0" w:rsidP="007843D0">
      <w:pPr>
        <w:rPr>
          <w:i/>
          <w:iCs/>
        </w:rPr>
      </w:pPr>
      <w:r>
        <w:rPr>
          <w:i/>
          <w:iCs/>
        </w:rPr>
        <w:t>S</w:t>
      </w:r>
      <w:r w:rsidRPr="007843D0">
        <w:rPr>
          <w:i/>
          <w:iCs/>
        </w:rPr>
        <w:t xml:space="preserve">ource : </w:t>
      </w:r>
      <w:hyperlink r:id="rId5" w:history="1">
        <w:r w:rsidRPr="007843D0">
          <w:rPr>
            <w:rStyle w:val="Lienhypertexte"/>
            <w:i/>
            <w:iCs/>
          </w:rPr>
          <w:t>https://www.education.gouv.fr/bo/20/Special2/MENE2001797N.htm</w:t>
        </w:r>
      </w:hyperlink>
    </w:p>
    <w:sectPr w:rsidR="007843D0" w:rsidRPr="007843D0" w:rsidSect="00E561A7">
      <w:pgSz w:w="11906" w:h="16838"/>
      <w:pgMar w:top="142"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F5B"/>
    <w:multiLevelType w:val="multilevel"/>
    <w:tmpl w:val="1CB4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D7800"/>
    <w:multiLevelType w:val="multilevel"/>
    <w:tmpl w:val="E9C0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76AE9"/>
    <w:multiLevelType w:val="hybridMultilevel"/>
    <w:tmpl w:val="4E7E9D96"/>
    <w:lvl w:ilvl="0" w:tplc="B28C266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D0"/>
    <w:rsid w:val="00702F1C"/>
    <w:rsid w:val="007843D0"/>
    <w:rsid w:val="009662C5"/>
    <w:rsid w:val="00972126"/>
    <w:rsid w:val="009B1E56"/>
    <w:rsid w:val="00E56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3B83"/>
  <w15:chartTrackingRefBased/>
  <w15:docId w15:val="{A41B3AEE-61D2-4276-86BF-EA219FCD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843D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843D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43D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843D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843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843D0"/>
    <w:rPr>
      <w:b/>
      <w:bCs/>
    </w:rPr>
  </w:style>
  <w:style w:type="character" w:styleId="Lienhypertexte">
    <w:name w:val="Hyperlink"/>
    <w:basedOn w:val="Policepardfaut"/>
    <w:uiPriority w:val="99"/>
    <w:semiHidden/>
    <w:unhideWhenUsed/>
    <w:rsid w:val="007843D0"/>
    <w:rPr>
      <w:color w:val="0000FF"/>
      <w:u w:val="single"/>
    </w:rPr>
  </w:style>
  <w:style w:type="paragraph" w:styleId="Paragraphedeliste">
    <w:name w:val="List Paragraph"/>
    <w:basedOn w:val="Normal"/>
    <w:uiPriority w:val="34"/>
    <w:qFormat/>
    <w:rsid w:val="00E56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681505">
      <w:bodyDiv w:val="1"/>
      <w:marLeft w:val="0"/>
      <w:marRight w:val="0"/>
      <w:marTop w:val="0"/>
      <w:marBottom w:val="0"/>
      <w:divBdr>
        <w:top w:val="none" w:sz="0" w:space="0" w:color="auto"/>
        <w:left w:val="none" w:sz="0" w:space="0" w:color="auto"/>
        <w:bottom w:val="none" w:sz="0" w:space="0" w:color="auto"/>
        <w:right w:val="none" w:sz="0" w:space="0" w:color="auto"/>
      </w:divBdr>
    </w:div>
    <w:div w:id="8581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on.gouv.fr/bo/20/Special2/MENE2001797N.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Plantard</dc:creator>
  <cp:keywords/>
  <dc:description/>
  <cp:lastModifiedBy>Grégory Plantard</cp:lastModifiedBy>
  <cp:revision>6</cp:revision>
  <dcterms:created xsi:type="dcterms:W3CDTF">2020-08-25T09:50:00Z</dcterms:created>
  <dcterms:modified xsi:type="dcterms:W3CDTF">2020-08-25T10:05:00Z</dcterms:modified>
</cp:coreProperties>
</file>