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The following is a list of published magazine articles that feature Condon-Johnson &amp; Associates projects: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“Calaveras Dam Replacement Project”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United States Society on Dams (USSD), March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“Condon-Johnson &amp; Associates Installs Dramatic Supports to Keep Building Safe”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Foundation Drilling, April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“High-Strength Micropiles Solve Problems at Seismic Retrofit Site”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Deep Foundations Magazine, May/June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