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val="false"/>
          <w:iCs w:val="false"/>
          <w:color w:val="5A564E"/>
          <w:sz w:val="17"/>
          <w:szCs w:val="17"/>
        </w:rPr>
        <w:t xml:space="preserve">Deal brief · Board &amp; Brew (BBRG, LLC)</w:t>
      </w:r>
    </w:p>
    <w:p>
      <w:pPr>
        <w:pStyle w:val="Title"/>
        <w:spacing w:after="200"/>
      </w:pPr>
      <w:r>
        <w:rPr>
          <w:rFonts w:ascii="Georgia" w:cs="Georgia" w:eastAsia="Georgia" w:hAnsi="Georgia"/>
          <w:b/>
          <w:bCs/>
          <w:i w:val="false"/>
          <w:iCs w:val="false"/>
          <w:color w:val="23272E"/>
          <w:sz w:val="40"/>
          <w:szCs w:val="40"/>
        </w:rPr>
        <w:t xml:space="preserve">Board &amp; Brew: asset summary and acquisition plan</w:t>
      </w:r>
    </w:p>
    <w:p>
      <w:pPr>
        <w:spacing w:after="320" w:line="340"/>
      </w:pPr>
      <w:r>
        <w:rPr>
          <w:rFonts w:ascii="Georgia" w:cs="Georgia" w:eastAsia="Georgia" w:hAnsi="Georgia"/>
          <w:b/>
          <w:bCs/>
          <w:i w:val="false"/>
          <w:iCs w:val="false"/>
          <w:color w:val="23272E"/>
          <w:sz w:val="23"/>
          <w:szCs w:val="23"/>
        </w:rPr>
        <w:t xml:space="preserve">Store operations are solid. The corporate layer is not maximizing the brand.</w:t>
      </w:r>
      <w:r>
        <w:rPr>
          <w:rFonts w:ascii="Georgia" w:cs="Georgia" w:eastAsia="Georgia" w:hAnsi="Georgia"/>
          <w:i w:val="false"/>
          <w:iCs w:val="false"/>
          <w:color w:val="23272E"/>
          <w:sz w:val="23"/>
          <w:szCs w:val="23"/>
        </w:rPr>
        <w:t xml:space="preserve"> The stores sold $21.2M in Q1 2026, up 10.7% comparable and led by traffic, while roughly $700K of overhead runs the entire franchisor, renewal paper sits behind the calendar, and the growth engine is unbuilt. The plan buys the corporate layer and builds it to the standard of the stores it serves; the value created is a royalty base that compounds over the next five to ten years. Three parties own the pieces and the founder wants a succession. Every number and clause below is cited to the seller's FDD, its audited financials, and the Q1 2026 sales report.</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1 · What the asset is</w:t>
      </w:r>
    </w:p>
    <w:p>
      <w:pPr>
        <w:spacing w:after="180" w:line="320"/>
      </w:pPr>
      <w:r>
        <w:rPr>
          <w:rFonts w:ascii="Georgia" w:cs="Georgia" w:eastAsia="Georgia" w:hAnsi="Georgia"/>
          <w:i w:val="false"/>
          <w:iCs w:val="false"/>
          <w:color w:val="23272E"/>
          <w:sz w:val="21"/>
          <w:szCs w:val="21"/>
        </w:rPr>
        <w:t xml:space="preserve">Board &amp; Brew is a Southern California sandwich and craft beer brand operating since 1979, with 33 restaurants. The purchase is the franchise system: </w:t>
      </w:r>
      <w:r>
        <w:rPr>
          <w:rFonts w:ascii="Georgia" w:cs="Georgia" w:eastAsia="Georgia" w:hAnsi="Georgia"/>
          <w:b/>
          <w:bCs/>
          <w:i w:val="false"/>
          <w:iCs w:val="false"/>
          <w:color w:val="23272E"/>
          <w:sz w:val="21"/>
          <w:szCs w:val="21"/>
        </w:rPr>
        <w:t xml:space="preserve">26 contracts that pay a share of every store's sales, collected every Wednesday</w:t>
      </w:r>
      <w:r>
        <w:rPr>
          <w:rFonts w:ascii="Georgia" w:cs="Georgia" w:eastAsia="Georgia" w:hAnsi="Georgia"/>
          <w:i w:val="false"/>
          <w:iCs w:val="false"/>
          <w:color w:val="23272E"/>
          <w:sz w:val="21"/>
          <w:szCs w:val="21"/>
        </w:rPr>
        <w:t xml:space="preserve">, the trademarks behind them, and the development pipeline. Across three audited years the system lost one franchised outlet to termination and none to non renewal, and two more agreements are signed with stores not yet open. In Q1 2026 the system sold $21.2M, up 15.9% year over year, with 29 of 30 comparable stores growing and average unit volume pacing $2.62M.</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2 · Who owns what, and where the money flows</w:t>
      </w:r>
    </w:p>
    <w:p>
      <w:pPr>
        <w:spacing w:after="40" w:before="240"/>
      </w:pPr>
      <w:r>
        <w:rPr>
          <w:rFonts w:ascii="Arial" w:cs="Arial" w:eastAsia="Arial" w:hAnsi="Arial"/>
          <w:b/>
          <w:bCs/>
          <w:i w:val="false"/>
          <w:iCs w:val="false"/>
          <w:color w:val="5A564E"/>
          <w:sz w:val="18"/>
          <w:szCs w:val="18"/>
        </w:rPr>
        <w:t xml:space="preserve">BBRG, LLC · the franchisor</w:t>
      </w:r>
    </w:p>
    <w:p>
      <w:pPr>
        <w:pStyle w:val="Heading2"/>
        <w:spacing w:after="80" w:before="240"/>
      </w:pPr>
      <w:r>
        <w:rPr>
          <w:rFonts w:ascii="Georgia" w:cs="Georgia" w:eastAsia="Georgia" w:hAnsi="Georgia"/>
          <w:b/>
          <w:bCs/>
          <w:i w:val="false"/>
          <w:iCs w:val="false"/>
          <w:color w:val="23272E"/>
          <w:sz w:val="23"/>
          <w:szCs w:val="23"/>
        </w:rPr>
        <w:t xml:space="preserve">Owns the revenue right</w:t>
      </w:r>
    </w:p>
    <w:p>
      <w:pPr>
        <w:spacing w:after="180" w:line="320"/>
      </w:pPr>
      <w:r>
        <w:rPr>
          <w:rFonts w:ascii="Georgia" w:cs="Georgia" w:eastAsia="Georgia" w:hAnsi="Georgia"/>
          <w:i w:val="false"/>
          <w:iCs w:val="false"/>
          <w:color w:val="23272E"/>
          <w:sz w:val="21"/>
          <w:szCs w:val="21"/>
        </w:rPr>
        <w:t xml:space="preserve">Holds the franchise agreements, 26 per Item 20 and 27 per the audit, reconciled in the file review: 5% of gross sales on the current form, about 5% blended across the 26 franchised stores per the Q1 sales data, plus a 1% brand fund on every store, paid weekly. FY25: $3.0M revenue, $2.61M net income, no debt. Owned 55% by founder Tom Powers, 45% by his partners Bret and Mike.</w:t>
      </w:r>
    </w:p>
    <w:p>
      <w:pPr>
        <w:spacing w:after="40" w:before="240"/>
      </w:pPr>
      <w:r>
        <w:rPr>
          <w:rFonts w:ascii="Arial" w:cs="Arial" w:eastAsia="Arial" w:hAnsi="Arial"/>
          <w:b/>
          <w:bCs/>
          <w:i w:val="false"/>
          <w:iCs w:val="false"/>
          <w:color w:val="5A564E"/>
          <w:sz w:val="18"/>
          <w:szCs w:val="18"/>
        </w:rPr>
        <w:t xml:space="preserve">JJ&amp;N Enterprises · the brand</w:t>
      </w:r>
    </w:p>
    <w:p>
      <w:pPr>
        <w:pStyle w:val="Heading2"/>
        <w:spacing w:after="80" w:before="240"/>
      </w:pPr>
      <w:r>
        <w:rPr>
          <w:rFonts w:ascii="Georgia" w:cs="Georgia" w:eastAsia="Georgia" w:hAnsi="Georgia"/>
          <w:b/>
          <w:bCs/>
          <w:i w:val="false"/>
          <w:iCs w:val="false"/>
          <w:color w:val="23272E"/>
          <w:sz w:val="23"/>
          <w:szCs w:val="23"/>
        </w:rPr>
        <w:t xml:space="preserve">Owns the trademarks</w:t>
      </w:r>
    </w:p>
    <w:p>
      <w:pPr>
        <w:spacing w:after="180" w:line="320"/>
      </w:pPr>
      <w:r>
        <w:rPr>
          <w:rFonts w:ascii="Georgia" w:cs="Georgia" w:eastAsia="Georgia" w:hAnsi="Georgia"/>
          <w:i w:val="false"/>
          <w:iCs w:val="false"/>
          <w:color w:val="23272E"/>
          <w:sz w:val="21"/>
          <w:szCs w:val="21"/>
        </w:rPr>
        <w:t xml:space="preserve">Holds the Board &amp; Brew marks (federally registered; §8 and §15 declaration accepted 2023) and licenses them to BBRG royalty free. 100% Tom's. Also runs the original 1979 Del Mar restaurant, which stays his. The marks close together with BBRG; every closing is cross conditioned.</w:t>
      </w:r>
    </w:p>
    <w:p>
      <w:pPr>
        <w:spacing w:after="40" w:before="240"/>
      </w:pPr>
      <w:r>
        <w:rPr>
          <w:rFonts w:ascii="Arial" w:cs="Arial" w:eastAsia="Arial" w:hAnsi="Arial"/>
          <w:b/>
          <w:bCs/>
          <w:i w:val="false"/>
          <w:iCs w:val="false"/>
          <w:color w:val="5A564E"/>
          <w:sz w:val="18"/>
          <w:szCs w:val="18"/>
        </w:rPr>
        <w:t xml:space="preserve">The store entities</w:t>
      </w:r>
    </w:p>
    <w:p>
      <w:pPr>
        <w:pStyle w:val="Heading2"/>
        <w:spacing w:after="80" w:before="240"/>
      </w:pPr>
      <w:r>
        <w:rPr>
          <w:rFonts w:ascii="Georgia" w:cs="Georgia" w:eastAsia="Georgia" w:hAnsi="Georgia"/>
          <w:b/>
          <w:bCs/>
          <w:i w:val="false"/>
          <w:iCs w:val="false"/>
          <w:color w:val="23272E"/>
          <w:sz w:val="23"/>
          <w:szCs w:val="23"/>
        </w:rPr>
        <w:t xml:space="preserve">Seven company stores sit outside BBRG</w:t>
      </w:r>
    </w:p>
    <w:p>
      <w:pPr>
        <w:spacing w:after="180" w:line="320"/>
      </w:pPr>
      <w:r>
        <w:rPr>
          <w:rFonts w:ascii="Georgia" w:cs="Georgia" w:eastAsia="Georgia" w:hAnsi="Georgia"/>
          <w:i w:val="false"/>
          <w:iCs w:val="false"/>
          <w:color w:val="23272E"/>
          <w:sz w:val="21"/>
          <w:szCs w:val="21"/>
        </w:rPr>
        <w:t xml:space="preserve">Owned by the principals' affiliate entities; they do not come along automatically. The two tied to Bret and Mike can come in with their 45% on the same deal structure. Diligence confirms what paper ties each one to the brand.</w:t>
      </w:r>
    </w:p>
    <w:p>
      <w:pPr>
        <w:spacing w:after="240" w:before="120" w:line="300"/>
      </w:pPr>
      <w:r>
        <w:rPr>
          <w:rFonts w:ascii="Georgia" w:cs="Georgia" w:eastAsia="Georgia" w:hAnsi="Georgia"/>
          <w:i w:val="false"/>
          <w:iCs w:val="false"/>
          <w:color w:val="5A564E"/>
          <w:sz w:val="19"/>
          <w:szCs w:val="19"/>
        </w:rPr>
        <w:t xml:space="preserve">Ownership percentages for BBRG and JJ&amp;N are per the owners; the FDD does not print either cap table. Both get confirmed against the operating agreement and JJ&amp;N's ledger in the document pull.</w:t>
      </w:r>
    </w:p>
    <w:p>
      <w:pPr>
        <w:spacing w:after="60"/>
        <w:ind w:left="360"/>
      </w:pPr>
      <w:r>
        <w:rPr>
          <w:rFonts w:ascii="Georgia" w:cs="Georgia" w:eastAsia="Georgia" w:hAnsi="Georgia"/>
          <w:b/>
          <w:bCs/>
          <w:i w:val="false"/>
          <w:iCs w:val="false"/>
          <w:color w:val="23272E"/>
          <w:sz w:val="21"/>
          <w:szCs w:val="21"/>
        </w:rPr>
        <w:t xml:space="preserve">$2.61M · FY25 net income</w:t>
      </w:r>
    </w:p>
    <w:p>
      <w:pPr>
        <w:spacing w:after="60"/>
        <w:ind w:left="360"/>
      </w:pPr>
      <w:r>
        <w:rPr>
          <w:rFonts w:ascii="Georgia" w:cs="Georgia" w:eastAsia="Georgia" w:hAnsi="Georgia"/>
          <w:b/>
          <w:bCs/>
          <w:i w:val="false"/>
          <w:iCs w:val="false"/>
          <w:color w:val="23272E"/>
          <w:sz w:val="21"/>
          <w:szCs w:val="21"/>
        </w:rPr>
        <w:t xml:space="preserve">$2.76M · FY25 royalties · +16%</w:t>
      </w:r>
    </w:p>
    <w:p>
      <w:pPr>
        <w:spacing w:after="60"/>
        <w:ind w:left="360"/>
      </w:pPr>
      <w:r>
        <w:rPr>
          <w:rFonts w:ascii="Georgia" w:cs="Georgia" w:eastAsia="Georgia" w:hAnsi="Georgia"/>
          <w:b/>
          <w:bCs/>
          <w:i w:val="false"/>
          <w:iCs w:val="false"/>
          <w:color w:val="23272E"/>
          <w:sz w:val="21"/>
          <w:szCs w:val="21"/>
        </w:rPr>
        <w:t xml:space="preserve">33 · Outlets · 1 exit in 3 yrs</w:t>
      </w:r>
    </w:p>
    <w:p>
      <w:pPr>
        <w:spacing w:after="60"/>
        <w:ind w:left="360"/>
      </w:pPr>
      <w:r>
        <w:rPr>
          <w:rFonts w:ascii="Georgia" w:cs="Georgia" w:eastAsia="Georgia" w:hAnsi="Georgia"/>
          <w:b/>
          <w:bCs/>
          <w:i w:val="false"/>
          <w:iCs w:val="false"/>
          <w:color w:val="23272E"/>
          <w:sz w:val="21"/>
          <w:szCs w:val="21"/>
        </w:rPr>
        <w:t xml:space="preserve">+10.7% · Q1 2026 comp sales</w:t>
      </w:r>
    </w:p>
    <w:p>
      <w:pPr>
        <w:spacing w:after="240" w:before="120" w:line="300"/>
      </w:pPr>
      <w:r>
        <w:rPr>
          <w:rFonts w:ascii="Georgia" w:cs="Georgia" w:eastAsia="Georgia" w:hAnsi="Georgia"/>
          <w:i w:val="false"/>
          <w:iCs w:val="false"/>
          <w:color w:val="5A564E"/>
          <w:sz w:val="19"/>
          <w:szCs w:val="19"/>
        </w:rPr>
        <w:t xml:space="preserve">Audited (Exhibit B, </w:t>
      </w:r>
      <w:r>
        <w:rPr>
          <w:rFonts w:ascii="Georgia" w:cs="Georgia" w:eastAsia="Georgia" w:hAnsi="Georgia"/>
          <w:b/>
          <w:bCs/>
          <w:i w:val="false"/>
          <w:iCs w:val="false"/>
          <w:color w:val="5A564E"/>
          <w:sz w:val="19"/>
          <w:szCs w:val="19"/>
        </w:rPr>
        <w:t xml:space="preserve">Item 21</w:t>
      </w:r>
      <w:r>
        <w:rPr>
          <w:rFonts w:ascii="Georgia" w:cs="Georgia" w:eastAsia="Georgia" w:hAnsi="Georgia"/>
          <w:i w:val="false"/>
          <w:iCs w:val="false"/>
          <w:color w:val="5A564E"/>
          <w:sz w:val="19"/>
          <w:szCs w:val="19"/>
        </w:rPr>
        <w:t xml:space="preserve">): FY25 revenue of $3.0M against roughly $700K of operating expense, $2.6M of operating cash flow, no debt; about 89 cents of each incremental royalty dollar reaches operating income. From FY24 to FY25, royalties went from $2.39M to $2.76M and net income from $2.20M to $2.61M. BBRG makes no Item 19 performance representations; the audits and store level records are the underwriting base. </w:t>
      </w:r>
      <w:r>
        <w:rPr>
          <w:rFonts w:ascii="Georgia" w:cs="Georgia" w:eastAsia="Georgia" w:hAnsi="Georgia"/>
          <w:b/>
          <w:bCs/>
          <w:i w:val="false"/>
          <w:iCs w:val="false"/>
          <w:color w:val="5A564E"/>
          <w:sz w:val="19"/>
          <w:szCs w:val="19"/>
        </w:rPr>
        <w:t xml:space="preserve">The royalty rate, computed from the Q1 2026 sales report and the Exhibit C outlet list:</w:t>
      </w:r>
      <w:r>
        <w:rPr>
          <w:rFonts w:ascii="Georgia" w:cs="Georgia" w:eastAsia="Georgia" w:hAnsi="Georgia"/>
          <w:i w:val="false"/>
          <w:iCs w:val="false"/>
          <w:color w:val="5A564E"/>
          <w:sz w:val="19"/>
          <w:szCs w:val="19"/>
        </w:rPr>
        <w:t xml:space="preserve"> the seven affiliate outlets pay no royalty, leaving 26 franchised stores at roughly $54.5M of annualized sales. FY25 royalties of $2.76M against that base is </w:t>
      </w:r>
      <w:r>
        <w:rPr>
          <w:rFonts w:ascii="Georgia" w:cs="Georgia" w:eastAsia="Georgia" w:hAnsi="Georgia"/>
          <w:b/>
          <w:bCs/>
          <w:i w:val="false"/>
          <w:iCs w:val="false"/>
          <w:color w:val="5A564E"/>
          <w:sz w:val="19"/>
          <w:szCs w:val="19"/>
        </w:rPr>
        <w:t xml:space="preserve">a blend near 5%</w:t>
      </w:r>
      <w:r>
        <w:rPr>
          <w:rFonts w:ascii="Georgia" w:cs="Georgia" w:eastAsia="Georgia" w:hAnsi="Georgia"/>
          <w:i w:val="false"/>
          <w:iCs w:val="false"/>
          <w:color w:val="5A564E"/>
          <w:sz w:val="19"/>
          <w:szCs w:val="19"/>
        </w:rPr>
        <w:t xml:space="preserve">, matching the current form. Item 11's $860K of Creative Fund contributions against all 33 stores is 1%, matching Item 6. The disclosure reconciles. Legacy agreements below 5% exist, one read at 4%, but they are a minority of the base rather than the norm, so renewal step ups are a smaller lever than the royalty stream's own growth. Q1 seasonality means the true blend sits between 4.7% and 5.1% until monthly sales confirm it. The earnout base does not depend on the answer: royalties grew 15.6% in FY25, and the Q1 2026 pace puts the run rate near $3.4M.</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3 · A founder led succession · cash out and rollover</w:t>
      </w:r>
    </w:p>
    <w:p>
      <w:pPr>
        <w:spacing w:after="180" w:line="320"/>
      </w:pPr>
      <w:r>
        <w:rPr>
          <w:rFonts w:ascii="Georgia" w:cs="Georgia" w:eastAsia="Georgia" w:hAnsi="Georgia"/>
          <w:i w:val="false"/>
          <w:iCs w:val="false"/>
          <w:color w:val="23272E"/>
          <w:sz w:val="21"/>
          <w:szCs w:val="21"/>
        </w:rPr>
        <w:t xml:space="preserve">Tom Powers started the brand in 1979 and still owns the controlling 55% plus the marks. He sells both for a </w:t>
      </w:r>
      <w:r>
        <w:rPr>
          <w:rFonts w:ascii="Georgia" w:cs="Georgia" w:eastAsia="Georgia" w:hAnsi="Georgia"/>
          <w:b/>
          <w:bCs/>
          <w:i w:val="false"/>
          <w:iCs w:val="false"/>
          <w:color w:val="23272E"/>
          <w:sz w:val="21"/>
          <w:szCs w:val="21"/>
        </w:rPr>
        <w:t xml:space="preserve">$20M package</w:t>
      </w:r>
      <w:r>
        <w:rPr>
          <w:rFonts w:ascii="Georgia" w:cs="Georgia" w:eastAsia="Georgia" w:hAnsi="Georgia"/>
          <w:i w:val="false"/>
          <w:iCs w:val="false"/>
          <w:color w:val="23272E"/>
          <w:sz w:val="21"/>
          <w:szCs w:val="21"/>
        </w:rPr>
        <w:t xml:space="preserve">: $4M to $5M cash at close, a $6M to $7M note paying roughly $1M a year, and a founder's royalty of $8M to $10M earned as the system grows. He keeps the original Del Mar restaurant, takes an advisory role on separate paper, and his rollover is </w:t>
      </w:r>
      <w:r>
        <w:rPr>
          <w:rFonts w:ascii="Georgia" w:cs="Georgia" w:eastAsia="Georgia" w:hAnsi="Georgia"/>
          <w:b/>
          <w:bCs/>
          <w:i w:val="false"/>
          <w:iCs w:val="false"/>
          <w:color w:val="23272E"/>
          <w:sz w:val="21"/>
          <w:szCs w:val="21"/>
        </w:rPr>
        <w:t xml:space="preserve">JJ&amp;N itself: the marks entity converts to holdco equity at closing</w:t>
      </w:r>
      <w:r>
        <w:rPr>
          <w:rFonts w:ascii="Georgia" w:cs="Georgia" w:eastAsia="Georgia" w:hAnsi="Georgia"/>
          <w:i w:val="false"/>
          <w:iCs w:val="false"/>
          <w:color w:val="23272E"/>
          <w:sz w:val="21"/>
          <w:szCs w:val="21"/>
        </w:rPr>
        <w:t xml:space="preserve">, tax deferred, with the Del Mar restaurant carved out to him first. Del Mar itself, pacing $2.77M a year in the Q1 report, signs the current franchise form at closing and pays the same royalty as every other store, and the holdco holds a right of first refusal and a call at the grid price on the store and any related real estate, so the flagship folds in whenever Tom chooses. His partners' 45% is bought with cash, note, and earnout; their path to holdco equity is the same one every store owner has, growth. His royalty pays from renewals and growth, so Tom makes the renewal case to the franchisees himself. Advisory work sits on separate paper; the earnout ties to results only, preserving the tax treatment.</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4 · Value creation · compounding the asset over five to ten years</w:t>
      </w:r>
    </w:p>
    <w:p>
      <w:pPr>
        <w:spacing w:after="180" w:line="320"/>
      </w:pPr>
      <w:r>
        <w:rPr>
          <w:rFonts w:ascii="Georgia" w:cs="Georgia" w:eastAsia="Georgia" w:hAnsi="Georgia"/>
          <w:i w:val="false"/>
          <w:iCs w:val="false"/>
          <w:color w:val="23272E"/>
          <w:sz w:val="21"/>
          <w:szCs w:val="21"/>
        </w:rPr>
        <w:t xml:space="preserve">The firm money is roughly 4.5x current earnings; the full package including the earnout is 7.7x. The stores are already doing their part: the Q1 2026 pace annualizes near $85M of system sales, which at the current blend implies royalties near $3.4M against the $2.76M FY25 base before any corporate action. The build converts that store performance into franchisor value through five levers. Same store growth compounds against a royalty that is a percentage of sales, with legacy stores below the current rate stepping up as their agreements renew. Stores get bought at prices a third party has already validated through the match right. Real estate is acquired alongside the operations: the sites beneath the seven company operated restaurants where the sellers own them, bought at appraised value at closing, and the site for every new store the system opens, taken by the holdco and leased to whoever runs the restaurant. The development pipeline behind $586K of deferred fees gets serviced and converted into open stores. New units open faster with holdco capital and support; franchise fee revenue doubled to $121K in FY25. </w:t>
      </w:r>
      <w:r>
        <w:rPr>
          <w:rFonts w:ascii="Georgia" w:cs="Georgia" w:eastAsia="Georgia" w:hAnsi="Georgia"/>
          <w:b/>
          <w:bCs/>
          <w:i w:val="false"/>
          <w:iCs w:val="false"/>
          <w:color w:val="23272E"/>
          <w:sz w:val="21"/>
          <w:szCs w:val="21"/>
        </w:rPr>
        <w:t xml:space="preserve">Tom's earnout pays only out of that same growth.</w:t>
      </w:r>
      <w:r>
        <w:rPr>
          <w:rFonts w:ascii="Georgia" w:cs="Georgia" w:eastAsia="Georgia" w:hAnsi="Georgia"/>
          <w:i w:val="false"/>
          <w:iCs w:val="false"/>
          <w:color w:val="23272E"/>
          <w:sz w:val="21"/>
          <w:szCs w:val="21"/>
        </w:rPr>
        <w:t xml:space="preserve"> If growth stalls, the entry price stands on current earnings alone.</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The one path · four gates, then one closing</w:t>
      </w:r>
    </w:p>
    <w:p>
      <w:pPr>
        <w:spacing w:after="180" w:line="320"/>
      </w:pPr>
      <w:r>
        <w:rPr>
          <w:rFonts w:ascii="Georgia" w:cs="Georgia" w:eastAsia="Georgia" w:hAnsi="Georgia"/>
          <w:b/>
          <w:bCs/>
          <w:i w:val="false"/>
          <w:iCs w:val="false"/>
          <w:color w:val="23272E"/>
          <w:sz w:val="21"/>
          <w:szCs w:val="21"/>
        </w:rPr>
        <w:t xml:space="preserve">Two findings decide the deal.</w:t>
      </w:r>
      <w:r>
        <w:rPr>
          <w:rFonts w:ascii="Georgia" w:cs="Georgia" w:eastAsia="Georgia" w:hAnsi="Georgia"/>
          <w:i w:val="false"/>
          <w:iCs w:val="false"/>
          <w:color w:val="23272E"/>
          <w:sz w:val="21"/>
          <w:szCs w:val="21"/>
        </w:rPr>
        <w:t xml:space="preserve"> The operating agreement must put control with Tom's 55%, by drag along or by majority manager rights, and the largest franchisee, holding 11 of the 26 franchises and roughly half the royalty line, must sign the current form. The gates prove the first. The earnout is built so Tom delivers the second.</w:t>
      </w:r>
    </w:p>
    <w:p>
      <w:pPr>
        <w:pStyle w:val="Heading2"/>
        <w:spacing w:after="80" w:before="240"/>
      </w:pPr>
      <w:r>
        <w:rPr>
          <w:rFonts w:ascii="Georgia" w:cs="Georgia" w:eastAsia="Georgia" w:hAnsi="Georgia"/>
          <w:b/>
          <w:bCs/>
          <w:i w:val="false"/>
          <w:iCs w:val="false"/>
          <w:color w:val="23272E"/>
          <w:sz w:val="23"/>
          <w:szCs w:val="23"/>
        </w:rPr>
        <w:t xml:space="preserve">G1. </w:t>
      </w:r>
      <w:r>
        <w:rPr>
          <w:rFonts w:ascii="Georgia" w:cs="Georgia" w:eastAsia="Georgia" w:hAnsi="Georgia"/>
          <w:b/>
          <w:bCs/>
          <w:i w:val="false"/>
          <w:iCs w:val="false"/>
          <w:color w:val="23272E"/>
          <w:sz w:val="23"/>
          <w:szCs w:val="23"/>
        </w:rPr>
        <w:t xml:space="preserve">Economics. Tom takes the case plus earnout, with real cash at close</w:t>
      </w:r>
    </w:p>
    <w:p>
      <w:pPr>
        <w:spacing w:after="180" w:line="320"/>
      </w:pPr>
      <w:r>
        <w:rPr>
          <w:rFonts w:ascii="Georgia" w:cs="Georgia" w:eastAsia="Georgia" w:hAnsi="Georgia"/>
          <w:i w:val="false"/>
          <w:iCs w:val="false"/>
          <w:color w:val="23272E"/>
          <w:sz w:val="21"/>
          <w:szCs w:val="21"/>
        </w:rPr>
        <w:t xml:space="preserve">Cash for what Exhibit B proves, earnout for upside as it arrives, paid from the same weekly royalties, </w:t>
      </w:r>
      <w:r>
        <w:rPr>
          <w:rFonts w:ascii="Georgia" w:cs="Georgia" w:eastAsia="Georgia" w:hAnsi="Georgia"/>
          <w:b/>
          <w:bCs/>
          <w:i w:val="false"/>
          <w:iCs w:val="false"/>
          <w:color w:val="23272E"/>
          <w:sz w:val="21"/>
          <w:szCs w:val="21"/>
        </w:rPr>
        <w:t xml:space="preserve">junior to LC repayment</w:t>
      </w:r>
      <w:r>
        <w:rPr>
          <w:rFonts w:ascii="Georgia" w:cs="Georgia" w:eastAsia="Georgia" w:hAnsi="Georgia"/>
          <w:i w:val="false"/>
          <w:iCs w:val="false"/>
          <w:color w:val="23272E"/>
          <w:sz w:val="21"/>
          <w:szCs w:val="21"/>
        </w:rPr>
        <w:t xml:space="preserve">. The package is built tax friendly for Tom.</w:t>
      </w:r>
    </w:p>
    <w:p>
      <w:pPr>
        <w:spacing w:after="180" w:line="320"/>
      </w:pPr>
      <w:r>
        <w:rPr>
          <w:rFonts w:ascii="Georgia" w:cs="Georgia" w:eastAsia="Georgia" w:hAnsi="Georgia"/>
          <w:b/>
          <w:bCs/>
          <w:i w:val="false"/>
          <w:iCs w:val="false"/>
          <w:color w:val="23272E"/>
          <w:sz w:val="21"/>
          <w:szCs w:val="21"/>
        </w:rPr>
        <w:t xml:space="preserve">The income anchor.</w:t>
      </w:r>
      <w:r>
        <w:rPr>
          <w:rFonts w:ascii="Georgia" w:cs="Georgia" w:eastAsia="Georgia" w:hAnsi="Georgia"/>
          <w:i w:val="false"/>
          <w:iCs w:val="false"/>
          <w:color w:val="23272E"/>
          <w:sz w:val="21"/>
          <w:szCs w:val="21"/>
        </w:rPr>
        <w:t xml:space="preserve"> BBRG distributed about $2.5M last year per the audits, putting Tom's 55% at roughly $1.4M a year if pro rata. The deal beats it from year one: day one cash, note payments with AFR interest, and the earnout, taxed as capital gain, while he keeps Del Mar. If he still holds out for all cash at $20M and up, his own disclosure numbers do not carry the price.</w:t>
      </w:r>
    </w:p>
    <w:p>
      <w:pPr>
        <w:spacing w:after="160" w:before="80"/>
      </w:pPr>
      <w:r>
        <w:rPr>
          <w:rFonts w:ascii="Arial" w:cs="Arial" w:eastAsia="Arial" w:hAnsi="Arial"/>
          <w:b/>
          <w:bCs/>
          <w:i w:val="false"/>
          <w:iCs w:val="false"/>
          <w:color w:val="8E2C25"/>
          <w:sz w:val="19"/>
          <w:szCs w:val="19"/>
        </w:rPr>
        <w:t xml:space="preserve">Fail: we walk before spending on diligence</w:t>
      </w:r>
    </w:p>
    <w:p>
      <w:pPr>
        <w:pStyle w:val="Heading2"/>
        <w:spacing w:after="80" w:before="240"/>
      </w:pPr>
      <w:r>
        <w:rPr>
          <w:rFonts w:ascii="Georgia" w:cs="Georgia" w:eastAsia="Georgia" w:hAnsi="Georgia"/>
          <w:b/>
          <w:bCs/>
          <w:i w:val="false"/>
          <w:iCs w:val="false"/>
          <w:color w:val="23272E"/>
          <w:sz w:val="23"/>
          <w:szCs w:val="23"/>
        </w:rPr>
        <w:t xml:space="preserve">G2. </w:t>
      </w:r>
      <w:r>
        <w:rPr>
          <w:rFonts w:ascii="Georgia" w:cs="Georgia" w:eastAsia="Georgia" w:hAnsi="Georgia"/>
          <w:b/>
          <w:bCs/>
          <w:i w:val="false"/>
          <w:iCs w:val="false"/>
          <w:color w:val="23272E"/>
          <w:sz w:val="23"/>
          <w:szCs w:val="23"/>
        </w:rPr>
        <w:t xml:space="preserve">Paper. The exact documents, in hand before we price anything</w:t>
      </w:r>
    </w:p>
    <w:p>
      <w:pPr>
        <w:spacing w:after="180" w:line="320"/>
      </w:pPr>
      <w:r>
        <w:rPr>
          <w:rFonts w:ascii="Georgia" w:cs="Georgia" w:eastAsia="Georgia" w:hAnsi="Georgia"/>
          <w:i w:val="false"/>
          <w:iCs w:val="false"/>
          <w:color w:val="23272E"/>
          <w:sz w:val="21"/>
          <w:szCs w:val="21"/>
        </w:rPr>
        <w:t xml:space="preserve">The FDD names the controlling contracts and attaches </w:t>
      </w:r>
      <w:r>
        <w:rPr>
          <w:rFonts w:ascii="Georgia" w:cs="Georgia" w:eastAsia="Georgia" w:hAnsi="Georgia"/>
          <w:b/>
          <w:bCs/>
          <w:i w:val="false"/>
          <w:iCs w:val="false"/>
          <w:color w:val="23272E"/>
          <w:sz w:val="21"/>
          <w:szCs w:val="21"/>
        </w:rPr>
        <w:t xml:space="preserve">none of them</w:t>
      </w:r>
      <w:r>
        <w:rPr>
          <w:rFonts w:ascii="Georgia" w:cs="Georgia" w:eastAsia="Georgia" w:hAnsi="Georgia"/>
          <w:i w:val="false"/>
          <w:iCs w:val="false"/>
          <w:color w:val="23272E"/>
          <w:sz w:val="21"/>
          <w:szCs w:val="21"/>
        </w:rPr>
        <w:t xml:space="preserve">. Item 22 carries only the form FA and the ADA. This is the request list, in priority order:</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BBRG, LLC operating agreement</w:t>
      </w:r>
      <w:r>
        <w:rPr>
          <w:rFonts w:ascii="Georgia" w:cs="Georgia" w:eastAsia="Georgia" w:hAnsi="Georgia"/>
          <w:i w:val="false"/>
          <w:iCs w:val="false"/>
          <w:color w:val="23272E"/>
          <w:sz w:val="21"/>
          <w:szCs w:val="21"/>
        </w:rPr>
        <w:t xml:space="preserve"> with every amendment, plus any side or buy sell agreements among Tom, Bret, and Mike. We read the transfer article (drag, tag, ROFR, blocked transfers) and the manager appointment and voting rules.</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JJ&amp;N to BBRG trademark license</w:t>
      </w:r>
      <w:r>
        <w:rPr>
          <w:rFonts w:ascii="Georgia" w:cs="Georgia" w:eastAsia="Georgia" w:hAnsi="Georgia"/>
          <w:i w:val="false"/>
          <w:iCs w:val="false"/>
          <w:color w:val="23272E"/>
          <w:sz w:val="21"/>
          <w:szCs w:val="21"/>
        </w:rPr>
        <w:t xml:space="preserve"> with all amendments. Term start date, renewal mechanics, termination triggers, change of control language, and assignability.</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JJ&amp;N file.</w:t>
      </w:r>
      <w:r>
        <w:rPr>
          <w:rFonts w:ascii="Georgia" w:cs="Georgia" w:eastAsia="Georgia" w:hAnsi="Georgia"/>
          <w:i w:val="false"/>
          <w:iCs w:val="false"/>
          <w:color w:val="23272E"/>
          <w:sz w:val="21"/>
          <w:szCs w:val="21"/>
        </w:rPr>
        <w:t xml:space="preserve"> Tom owns 100%, so the sequencing is locked. Still needed: formation documents and tax status (C or S corp, which decides marks sale versus license repaper), every mark and domain beyond reg. 5443521, a UCC lien search on the IP, any direct licenses granted outside the franchise system, and the original Del Mar store's paper.</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All executed franchise agreements</w:t>
      </w:r>
      <w:r>
        <w:rPr>
          <w:rFonts w:ascii="Georgia" w:cs="Georgia" w:eastAsia="Georgia" w:hAnsi="Georgia"/>
          <w:i w:val="false"/>
          <w:iCs w:val="false"/>
          <w:color w:val="23272E"/>
          <w:sz w:val="21"/>
          <w:szCs w:val="21"/>
        </w:rPr>
        <w:t xml:space="preserve"> with amendments, side letters, and renewal files, the units at or past computed expiration read first. Output: a store by store schedule of royalty rate, expiry date, renewal clause type, and transfer clause. That schedule is the pricing model; the Q1 workbook fixes what its rate column must sum to, and its expiry column is the most valuable page in the file.</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affiliate store entities</w:t>
      </w:r>
      <w:r>
        <w:rPr>
          <w:rFonts w:ascii="Georgia" w:cs="Georgia" w:eastAsia="Georgia" w:hAnsi="Georgia"/>
          <w:i w:val="false"/>
          <w:iCs w:val="false"/>
          <w:color w:val="23272E"/>
          <w:sz w:val="21"/>
          <w:szCs w:val="21"/>
        </w:rPr>
        <w:t xml:space="preserve"> (SCBNB and the rest): who owns each of the 7 company stores and what paper ties them to the brand.</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ADA book:</w:t>
      </w:r>
      <w:r>
        <w:rPr>
          <w:rFonts w:ascii="Georgia" w:cs="Georgia" w:eastAsia="Georgia" w:hAnsi="Georgia"/>
          <w:i w:val="false"/>
          <w:iCs w:val="false"/>
          <w:color w:val="23272E"/>
          <w:sz w:val="21"/>
          <w:szCs w:val="21"/>
        </w:rPr>
        <w:t xml:space="preserve"> every agreement behind the $586K of deferred fees, with development schedules and territory grants we would inherit.</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money side items:</w:t>
      </w:r>
      <w:r>
        <w:rPr>
          <w:rFonts w:ascii="Georgia" w:cs="Georgia" w:eastAsia="Georgia" w:hAnsi="Georgia"/>
          <w:i w:val="false"/>
          <w:iCs w:val="false"/>
          <w:color w:val="23272E"/>
          <w:sz w:val="21"/>
          <w:szCs w:val="21"/>
        </w:rPr>
        <w:t xml:space="preserve"> vendor rebate contracts ($308K in FY25), gift card program terms ($474K liability), creative fund accounting ($353K liability), and the 2024 legal settlement file ($41,800 received).</w:t>
      </w:r>
    </w:p>
    <w:p>
      <w:pPr>
        <w:spacing w:after="180" w:line="320"/>
      </w:pPr>
      <w:r>
        <w:rPr>
          <w:rFonts w:ascii="Georgia" w:cs="Georgia" w:eastAsia="Georgia" w:hAnsi="Georgia"/>
          <w:i w:val="false"/>
          <w:iCs w:val="false"/>
          <w:color w:val="23272E"/>
          <w:sz w:val="21"/>
          <w:szCs w:val="21"/>
        </w:rPr>
        <w:t xml:space="preserve">In parallel, our team audits the royalty stream bottom up from store level: POS reports, store P&amp;Ls, and royalty reconciliations tie every Exhibit B dollar to the store that paid it. Store level economics tell us which stores can carry the current form at renewal. The Q1 2026 report hands the audit two named items: a broken comp column for four stores in the source file, and Santee, the one declining store, down 6.1% on traffic.</w:t>
      </w:r>
    </w:p>
    <w:p>
      <w:pPr>
        <w:pStyle w:val="Heading2"/>
        <w:spacing w:after="80" w:before="240"/>
      </w:pPr>
      <w:r>
        <w:rPr>
          <w:rFonts w:ascii="Georgia" w:cs="Georgia" w:eastAsia="Georgia" w:hAnsi="Georgia"/>
          <w:b/>
          <w:bCs/>
          <w:i w:val="false"/>
          <w:iCs w:val="false"/>
          <w:color w:val="23272E"/>
          <w:sz w:val="23"/>
          <w:szCs w:val="23"/>
        </w:rPr>
        <w:t xml:space="preserve">G3. </w:t>
      </w:r>
      <w:r>
        <w:rPr>
          <w:rFonts w:ascii="Georgia" w:cs="Georgia" w:eastAsia="Georgia" w:hAnsi="Georgia"/>
          <w:b/>
          <w:bCs/>
          <w:i w:val="false"/>
          <w:iCs w:val="false"/>
          <w:color w:val="23272E"/>
          <w:sz w:val="23"/>
          <w:szCs w:val="23"/>
        </w:rPr>
        <w:t xml:space="preserve">Marks. Secured in writing or nothing closes</w:t>
      </w:r>
    </w:p>
    <w:p>
      <w:pPr>
        <w:spacing w:after="180" w:line="320"/>
      </w:pPr>
      <w:r>
        <w:rPr>
          <w:rFonts w:ascii="Georgia" w:cs="Georgia" w:eastAsia="Georgia" w:hAnsi="Georgia"/>
          <w:i w:val="false"/>
          <w:iCs w:val="false"/>
          <w:color w:val="23272E"/>
          <w:sz w:val="21"/>
          <w:szCs w:val="21"/>
        </w:rPr>
        <w:t xml:space="preserve">The preferred route: </w:t>
      </w:r>
      <w:r>
        <w:rPr>
          <w:rFonts w:ascii="Georgia" w:cs="Georgia" w:eastAsia="Georgia" w:hAnsi="Georgia"/>
          <w:b/>
          <w:bCs/>
          <w:i w:val="false"/>
          <w:iCs w:val="false"/>
          <w:color w:val="23272E"/>
          <w:sz w:val="21"/>
          <w:szCs w:val="21"/>
        </w:rPr>
        <w:t xml:space="preserve">JJ&amp;N is contributed to the holdco for equity at closing</w:t>
      </w:r>
      <w:r>
        <w:rPr>
          <w:rFonts w:ascii="Georgia" w:cs="Georgia" w:eastAsia="Georgia" w:hAnsi="Georgia"/>
          <w:i w:val="false"/>
          <w:iCs w:val="false"/>
          <w:color w:val="23272E"/>
          <w:sz w:val="21"/>
          <w:szCs w:val="21"/>
        </w:rPr>
        <w:t xml:space="preserve">, so the marks arrive as Tom's rollover, tax deferred, with Del Mar carved out to him first. The fallbacks: JJ&amp;N sells the marks at a fixed price, or the license gets repapered </w:t>
      </w:r>
      <w:r>
        <w:rPr>
          <w:rFonts w:ascii="Georgia" w:cs="Georgia" w:eastAsia="Georgia" w:hAnsi="Georgia"/>
          <w:b/>
          <w:bCs/>
          <w:i w:val="false"/>
          <w:iCs w:val="false"/>
          <w:color w:val="23272E"/>
          <w:sz w:val="21"/>
          <w:szCs w:val="21"/>
        </w:rPr>
        <w:t xml:space="preserve">perpetual, change of control proof, and assignable</w:t>
      </w:r>
      <w:r>
        <w:rPr>
          <w:rFonts w:ascii="Georgia" w:cs="Georgia" w:eastAsia="Georgia" w:hAnsi="Georgia"/>
          <w:i w:val="false"/>
          <w:iCs w:val="false"/>
          <w:color w:val="23272E"/>
          <w:sz w:val="21"/>
          <w:szCs w:val="21"/>
        </w:rPr>
        <w:t xml:space="preserve">. The disclosed license is strong: royalty free, exclusive, renewable at BBRG's option in ten year terms; the §8 and §15 declaration was accepted in October 2023. Closing requires one of the three, signed and in hand.</w:t>
      </w:r>
    </w:p>
    <w:p>
      <w:pPr>
        <w:spacing w:after="160" w:before="80"/>
      </w:pPr>
      <w:r>
        <w:rPr>
          <w:rFonts w:ascii="Arial" w:cs="Arial" w:eastAsia="Arial" w:hAnsi="Arial"/>
          <w:b/>
          <w:bCs/>
          <w:i w:val="false"/>
          <w:iCs w:val="false"/>
          <w:color w:val="8E2C25"/>
          <w:sz w:val="19"/>
          <w:szCs w:val="19"/>
        </w:rPr>
        <w:t xml:space="preserve">Fail: we walk. Never BBRG without the marks</w:t>
      </w:r>
    </w:p>
    <w:p>
      <w:pPr>
        <w:pStyle w:val="Heading2"/>
        <w:spacing w:after="80" w:before="240"/>
      </w:pPr>
      <w:r>
        <w:rPr>
          <w:rFonts w:ascii="Georgia" w:cs="Georgia" w:eastAsia="Georgia" w:hAnsi="Georgia"/>
          <w:b/>
          <w:bCs/>
          <w:i w:val="false"/>
          <w:iCs w:val="false"/>
          <w:color w:val="23272E"/>
          <w:sz w:val="23"/>
          <w:szCs w:val="23"/>
        </w:rPr>
        <w:t xml:space="preserve">G4. </w:t>
      </w:r>
      <w:r>
        <w:rPr>
          <w:rFonts w:ascii="Georgia" w:cs="Georgia" w:eastAsia="Georgia" w:hAnsi="Georgia"/>
          <w:b/>
          <w:bCs/>
          <w:i w:val="false"/>
          <w:iCs w:val="false"/>
          <w:color w:val="23272E"/>
          <w:sz w:val="23"/>
          <w:szCs w:val="23"/>
        </w:rPr>
        <w:t xml:space="preserve">Structure. The OA picks the closing shape</w:t>
      </w:r>
    </w:p>
    <w:p>
      <w:pPr>
        <w:spacing w:after="180" w:line="320"/>
      </w:pPr>
      <w:r>
        <w:rPr>
          <w:rFonts w:ascii="Georgia" w:cs="Georgia" w:eastAsia="Georgia" w:hAnsi="Georgia"/>
          <w:i w:val="false"/>
          <w:iCs w:val="false"/>
          <w:color w:val="23272E"/>
          <w:sz w:val="21"/>
          <w:szCs w:val="21"/>
        </w:rPr>
        <w:t xml:space="preserve">The operating agreement decides one thing: </w:t>
      </w:r>
      <w:r>
        <w:rPr>
          <w:rFonts w:ascii="Georgia" w:cs="Georgia" w:eastAsia="Georgia" w:hAnsi="Georgia"/>
          <w:b/>
          <w:bCs/>
          <w:i w:val="false"/>
          <w:iCs w:val="false"/>
          <w:color w:val="23272E"/>
          <w:sz w:val="21"/>
          <w:szCs w:val="21"/>
        </w:rPr>
        <w:t xml:space="preserve">who signs on day one</w:t>
      </w:r>
      <w:r>
        <w:rPr>
          <w:rFonts w:ascii="Georgia" w:cs="Georgia" w:eastAsia="Georgia" w:hAnsi="Georgia"/>
          <w:i w:val="false"/>
          <w:iCs w:val="false"/>
          <w:color w:val="23272E"/>
          <w:sz w:val="21"/>
          <w:szCs w:val="21"/>
        </w:rPr>
        <w:t xml:space="preserve">. A drag along pulls Bret and Mike to the same table. Blocked transfers force all five parties to sign the same day. Free transfers mean control closes first and the 45% follows. The franchisee side: the FAs put no restriction on our right to assign, provided the assignee can show it is willing and financially able to assume the franchisor obligations. The OA sets which buying option is open and what the fast one costs.</w:t>
      </w:r>
    </w:p>
    <w:p>
      <w:pPr>
        <w:spacing w:after="180" w:line="320"/>
      </w:pPr>
      <w:r>
        <w:rPr>
          <w:rFonts w:ascii="Georgia" w:cs="Georgia" w:eastAsia="Georgia" w:hAnsi="Georgia"/>
          <w:i w:val="false"/>
          <w:iCs w:val="false"/>
          <w:color w:val="23272E"/>
          <w:sz w:val="21"/>
          <w:szCs w:val="21"/>
        </w:rPr>
        <w:t xml:space="preserve">If there is no drag: </w:t>
      </w:r>
      <w:r>
        <w:rPr>
          <w:rFonts w:ascii="Georgia" w:cs="Georgia" w:eastAsia="Georgia" w:hAnsi="Georgia"/>
          <w:b/>
          <w:bCs/>
          <w:i w:val="false"/>
          <w:iCs w:val="false"/>
          <w:color w:val="23272E"/>
          <w:sz w:val="21"/>
          <w:szCs w:val="21"/>
        </w:rPr>
        <w:t xml:space="preserve">JJ&amp;N and Tom's 55% close first, under one exclusivity.</w:t>
      </w:r>
      <w:r>
        <w:rPr>
          <w:rFonts w:ascii="Georgia" w:cs="Georgia" w:eastAsia="Georgia" w:hAnsi="Georgia"/>
          <w:i w:val="false"/>
          <w:iCs w:val="false"/>
          <w:color w:val="23272E"/>
          <w:sz w:val="21"/>
          <w:szCs w:val="21"/>
        </w:rPr>
        <w:t xml:space="preserve"> Tom runs both entities, so one signature set locks both. Bret and Mike then get cash, note, and earnout for the 45%, on their timeline. Holdco equity is not part of that purchase: seller side equity has two doors, the JJ&amp;N contribution and growth. The operator equity and co invest sit in the sponsor waterfall, on the cap table Gart approves. Speed comes from the bottom up store level audit, the complete document set, and early renewal conversations: a renewing store under the holdco gets brand fund investment, operating support, and a growth plan its owner shares in. Their two stores stay theirs unless they sell them in; any store sale comes to us first under FA §12.3. Growth capital after Close 1 comes from the holdco on market terms, senior to common distributions, so the 45% keeps its share of today's stream while new value accrues to the capital that builds it.</w:t>
      </w:r>
    </w:p>
    <w:p>
      <w:pPr>
        <w:spacing w:after="180" w:line="320"/>
      </w:pPr>
      <w:r>
        <w:rPr>
          <w:rFonts w:ascii="Georgia" w:cs="Georgia" w:eastAsia="Georgia" w:hAnsi="Georgia"/>
          <w:i w:val="false"/>
          <w:iCs w:val="false"/>
          <w:color w:val="23272E"/>
          <w:sz w:val="21"/>
          <w:szCs w:val="21"/>
        </w:rPr>
        <w:t xml:space="preserve">JJ&amp;N is confirmed: </w:t>
      </w:r>
      <w:r>
        <w:rPr>
          <w:rFonts w:ascii="Georgia" w:cs="Georgia" w:eastAsia="Georgia" w:hAnsi="Georgia"/>
          <w:b/>
          <w:bCs/>
          <w:i w:val="false"/>
          <w:iCs w:val="false"/>
          <w:color w:val="23272E"/>
          <w:sz w:val="21"/>
          <w:szCs w:val="21"/>
        </w:rPr>
        <w:t xml:space="preserve">Tom owns 100% of it.</w:t>
      </w:r>
      <w:r>
        <w:rPr>
          <w:rFonts w:ascii="Georgia" w:cs="Georgia" w:eastAsia="Georgia" w:hAnsi="Georgia"/>
          <w:i w:val="false"/>
          <w:iCs w:val="false"/>
          <w:color w:val="23272E"/>
          <w:sz w:val="21"/>
          <w:szCs w:val="21"/>
        </w:rPr>
        <w:t xml:space="preserve"> Bret and Mike hold none; one exclusivity and one signature set locks the 55% and the brand together. We still pull the full JJ&amp;N file: its tax status (C corp or S corp decides whether it sells us the marks or repapers the license), the complete mark and domain schedule, any liens on the IP, any direct licenses JJ&amp;N ever granted outside the franchise system (the 2012 California notice involved exactly one), and the paper on the original Del Mar store it has operated since 1979, which comes along if we buy the entity instead of the marks.</w:t>
      </w:r>
    </w:p>
    <w:p>
      <w:pPr>
        <w:pStyle w:val="Heading2"/>
        <w:spacing w:after="80" w:before="240"/>
      </w:pPr>
      <w:r>
        <w:rPr>
          <w:rFonts w:ascii="Georgia" w:cs="Georgia" w:eastAsia="Georgia" w:hAnsi="Georgia"/>
          <w:b/>
          <w:bCs/>
          <w:i w:val="false"/>
          <w:iCs w:val="false"/>
          <w:color w:val="23272E"/>
          <w:sz w:val="23"/>
          <w:szCs w:val="23"/>
        </w:rPr>
        <w:t xml:space="preserve">✓. </w:t>
      </w:r>
      <w:r>
        <w:rPr>
          <w:rFonts w:ascii="Georgia" w:cs="Georgia" w:eastAsia="Georgia" w:hAnsi="Georgia"/>
          <w:b/>
          <w:bCs/>
          <w:i w:val="false"/>
          <w:iCs w:val="false"/>
          <w:color w:val="23272E"/>
          <w:sz w:val="23"/>
          <w:szCs w:val="23"/>
        </w:rPr>
        <w:t xml:space="preserve">The closing. Everything funds together or nothing funds</w:t>
      </w:r>
    </w:p>
    <w:p>
      <w:pPr>
        <w:spacing w:after="180" w:line="320"/>
      </w:pPr>
      <w:r>
        <w:rPr>
          <w:rFonts w:ascii="Georgia" w:cs="Georgia" w:eastAsia="Georgia" w:hAnsi="Georgia"/>
          <w:i w:val="false"/>
          <w:iCs w:val="false"/>
          <w:color w:val="23272E"/>
          <w:sz w:val="21"/>
          <w:szCs w:val="21"/>
        </w:rPr>
        <w:t xml:space="preserve">One cross conditioned signing: Tom's 55%, the marks by sale or repapered license, and the partners either the same day or by agreement afterward, depending on the OA. The LC never sits exposed in a partial state. If the 45% follows later, the offer to Bret and Mike goes out under </w:t>
      </w:r>
      <w:r>
        <w:rPr>
          <w:rFonts w:ascii="Georgia" w:cs="Georgia" w:eastAsia="Georgia" w:hAnsi="Georgia"/>
          <w:b/>
          <w:bCs/>
          <w:i w:val="false"/>
          <w:iCs w:val="false"/>
          <w:color w:val="23272E"/>
          <w:sz w:val="21"/>
          <w:szCs w:val="21"/>
        </w:rPr>
        <w:t xml:space="preserve">NDA with a no shop and a defined expiry</w:t>
      </w:r>
      <w:r>
        <w:rPr>
          <w:rFonts w:ascii="Georgia" w:cs="Georgia" w:eastAsia="Georgia" w:hAnsi="Georgia"/>
          <w:i w:val="false"/>
          <w:iCs w:val="false"/>
          <w:color w:val="23272E"/>
          <w:sz w:val="21"/>
          <w:szCs w:val="21"/>
        </w:rPr>
        <w:t xml:space="preserve">, on the same structure Tom signed. Any real offer for their stores triggers the </w:t>
      </w:r>
      <w:r>
        <w:rPr>
          <w:rFonts w:ascii="Georgia" w:cs="Georgia" w:eastAsia="Georgia" w:hAnsi="Georgia"/>
          <w:b/>
          <w:bCs/>
          <w:i w:val="false"/>
          <w:iCs w:val="false"/>
          <w:color w:val="23272E"/>
          <w:sz w:val="21"/>
          <w:szCs w:val="21"/>
        </w:rPr>
        <w:t xml:space="preserve">15 day match right</w:t>
      </w:r>
      <w:r>
        <w:rPr>
          <w:rFonts w:ascii="Georgia" w:cs="Georgia" w:eastAsia="Georgia" w:hAnsi="Georgia"/>
          <w:i w:val="false"/>
          <w:iCs w:val="false"/>
          <w:color w:val="23272E"/>
          <w:sz w:val="21"/>
          <w:szCs w:val="21"/>
        </w:rPr>
        <w:t xml:space="preserve">; any equity transfer in a store entity needs our written consent, and an unapproved transfer of control is void. Closing deliverables include current form FAs for every expired or expiring store and for every affiliate outlet operating outside the deal, the retained Del Mar store included. The renewal calendar prices each later renewal onto the then current form as its date arrives.</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Contingencies · pre built answers for what we have not read</w:t>
      </w:r>
    </w:p>
    <w:p>
      <w:pPr>
        <w:spacing w:after="180" w:line="320"/>
      </w:pPr>
      <w:r>
        <w:rPr>
          <w:rFonts w:ascii="Georgia" w:cs="Georgia" w:eastAsia="Georgia" w:hAnsi="Georgia"/>
          <w:b/>
          <w:bCs/>
          <w:i w:val="false"/>
          <w:iCs w:val="false"/>
          <w:color w:val="23272E"/>
          <w:sz w:val="21"/>
          <w:szCs w:val="21"/>
        </w:rPr>
        <w:t xml:space="preserve">If JJ&amp;N is an S corp:</w:t>
      </w:r>
      <w:r>
        <w:rPr>
          <w:rFonts w:ascii="Georgia" w:cs="Georgia" w:eastAsia="Georgia" w:hAnsi="Georgia"/>
          <w:i w:val="false"/>
          <w:iCs w:val="false"/>
          <w:color w:val="23272E"/>
          <w:sz w:val="21"/>
          <w:szCs w:val="21"/>
        </w:rPr>
        <w:t xml:space="preserve"> Del Mar distributes out to Tom with one layer of tax, then he contributes JJ&amp;N under §721. </w:t>
      </w:r>
      <w:r>
        <w:rPr>
          <w:rFonts w:ascii="Georgia" w:cs="Georgia" w:eastAsia="Georgia" w:hAnsi="Georgia"/>
          <w:b/>
          <w:bCs/>
          <w:i w:val="false"/>
          <w:iCs w:val="false"/>
          <w:color w:val="23272E"/>
          <w:sz w:val="21"/>
          <w:szCs w:val="21"/>
        </w:rPr>
        <w:t xml:space="preserve">If it is a C corp:</w:t>
      </w:r>
      <w:r>
        <w:rPr>
          <w:rFonts w:ascii="Georgia" w:cs="Georgia" w:eastAsia="Georgia" w:hAnsi="Georgia"/>
          <w:i w:val="false"/>
          <w:iCs w:val="false"/>
          <w:color w:val="23272E"/>
          <w:sz w:val="21"/>
          <w:szCs w:val="21"/>
        </w:rPr>
        <w:t xml:space="preserve"> no assets leave the corporation. Either the whole company is contributed with Del Mar inside and leased back to Tom at market rent, or JJ&amp;N stays outside, the license gets repapered perpetual and assignable, the holdco takes a signed purchase option on the marks at a fixed price, and Tom's rollover shifts to a slice of his 55% instead. One tax return decides the route.</w:t>
      </w:r>
    </w:p>
    <w:p>
      <w:pPr>
        <w:spacing w:after="180" w:line="320"/>
      </w:pPr>
      <w:r>
        <w:rPr>
          <w:rFonts w:ascii="Georgia" w:cs="Georgia" w:eastAsia="Georgia" w:hAnsi="Georgia"/>
          <w:b/>
          <w:bCs/>
          <w:i w:val="false"/>
          <w:iCs w:val="false"/>
          <w:color w:val="23272E"/>
          <w:sz w:val="21"/>
          <w:szCs w:val="21"/>
        </w:rPr>
        <w:t xml:space="preserve">If the OA lets the majority appoint and remove managers, or says nothing:</w:t>
      </w:r>
      <w:r>
        <w:rPr>
          <w:rFonts w:ascii="Georgia" w:cs="Georgia" w:eastAsia="Georgia" w:hAnsi="Georgia"/>
          <w:i w:val="false"/>
          <w:iCs w:val="false"/>
          <w:color w:val="23272E"/>
          <w:sz w:val="21"/>
          <w:szCs w:val="21"/>
        </w:rPr>
        <w:t xml:space="preserve"> Option 1 proceeds, because California's default rule hands both powers to a majority of the members. </w:t>
      </w:r>
      <w:r>
        <w:rPr>
          <w:rFonts w:ascii="Georgia" w:cs="Georgia" w:eastAsia="Georgia" w:hAnsi="Georgia"/>
          <w:b/>
          <w:bCs/>
          <w:i w:val="false"/>
          <w:iCs w:val="false"/>
          <w:color w:val="23272E"/>
          <w:sz w:val="21"/>
          <w:szCs w:val="21"/>
        </w:rPr>
        <w:t xml:space="preserve">If the OA entrenches the managers in writing:</w:t>
      </w:r>
      <w:r>
        <w:rPr>
          <w:rFonts w:ascii="Georgia" w:cs="Georgia" w:eastAsia="Georgia" w:hAnsi="Georgia"/>
          <w:i w:val="false"/>
          <w:iCs w:val="false"/>
          <w:color w:val="23272E"/>
          <w:sz w:val="21"/>
          <w:szCs w:val="21"/>
        </w:rPr>
        <w:t xml:space="preserve"> their cooperation cannot be bought from Tom alone, so Option 1 comes off the menu and the deal is the five party shape or nothing. The read still checks member reserved matters, the amendment threshold, and the dissolution vote, which set the price of their veto. </w:t>
      </w:r>
      <w:r>
        <w:rPr>
          <w:rFonts w:ascii="Georgia" w:cs="Georgia" w:eastAsia="Georgia" w:hAnsi="Georgia"/>
          <w:b/>
          <w:bCs/>
          <w:i w:val="false"/>
          <w:iCs w:val="false"/>
          <w:color w:val="23272E"/>
          <w:sz w:val="21"/>
          <w:szCs w:val="21"/>
        </w:rPr>
        <w:t xml:space="preserve">With a drag or with majority manager rights, there are reasonable paths. With neither, the deal happens only if all five want it to.</w:t>
      </w:r>
    </w:p>
    <w:p>
      <w:pPr>
        <w:spacing w:after="180" w:line="320"/>
      </w:pPr>
      <w:r>
        <w:rPr>
          <w:rFonts w:ascii="Georgia" w:cs="Georgia" w:eastAsia="Georgia" w:hAnsi="Georgia"/>
          <w:b/>
          <w:bCs/>
          <w:i w:val="false"/>
          <w:iCs w:val="false"/>
          <w:color w:val="23272E"/>
          <w:sz w:val="21"/>
          <w:szCs w:val="21"/>
        </w:rPr>
        <w:t xml:space="preserve">If Bret and Mike, once approached, say no and go shopping, or move to buy Tom out themselves:</w:t>
      </w:r>
      <w:r>
        <w:rPr>
          <w:rFonts w:ascii="Georgia" w:cs="Georgia" w:eastAsia="Georgia" w:hAnsi="Georgia"/>
          <w:i w:val="false"/>
          <w:iCs w:val="false"/>
          <w:color w:val="23272E"/>
          <w:sz w:val="21"/>
          <w:szCs w:val="21"/>
        </w:rPr>
        <w:t xml:space="preserve"> Tom's exclusivity bars any sale, including to other members, for the window, and the JJ&amp;N option outlives it. If the license carries change of control or assignment limits, an insider buyout loses the brand. If the license reads as strong as Item 13 summarizes, it protects any BBRG owner, and the defenses are an exclusivity long enough to close inside plus a package an insider cash bid cannot match after tax. The option then becomes a position a counter bidder must buy out. Nothing flips inside the window.</w:t>
      </w:r>
    </w:p>
    <w:p>
      <w:pPr>
        <w:spacing w:after="180" w:line="320"/>
      </w:pPr>
      <w:r>
        <w:rPr>
          <w:rFonts w:ascii="Georgia" w:cs="Georgia" w:eastAsia="Georgia" w:hAnsi="Georgia"/>
          <w:b/>
          <w:bCs/>
          <w:i w:val="false"/>
          <w:iCs w:val="false"/>
          <w:color w:val="23272E"/>
          <w:sz w:val="21"/>
          <w:szCs w:val="21"/>
        </w:rPr>
        <w:t xml:space="preserve">If the license carries a change of control trigger:</w:t>
      </w:r>
      <w:r>
        <w:rPr>
          <w:rFonts w:ascii="Georgia" w:cs="Georgia" w:eastAsia="Georgia" w:hAnsi="Georgia"/>
          <w:i w:val="false"/>
          <w:iCs w:val="false"/>
          <w:color w:val="23272E"/>
          <w:sz w:val="21"/>
          <w:szCs w:val="21"/>
        </w:rPr>
        <w:t xml:space="preserve"> the JJ&amp;N contribution moots it, since we would own both sides of the license. The trigger only matters if the contribution route fails, and the repaper plus purchase option covers that case.</w:t>
      </w:r>
    </w:p>
    <w:p>
      <w:pPr>
        <w:spacing w:after="180" w:line="320"/>
      </w:pPr>
      <w:r>
        <w:rPr>
          <w:rFonts w:ascii="Georgia" w:cs="Georgia" w:eastAsia="Georgia" w:hAnsi="Georgia"/>
          <w:b/>
          <w:bCs/>
          <w:i w:val="false"/>
          <w:iCs w:val="false"/>
          <w:color w:val="23272E"/>
          <w:sz w:val="21"/>
          <w:szCs w:val="21"/>
        </w:rPr>
        <w:t xml:space="preserve">If legacy FAs renew onto the then current form:</w:t>
      </w:r>
      <w:r>
        <w:rPr>
          <w:rFonts w:ascii="Georgia" w:cs="Georgia" w:eastAsia="Georgia" w:hAnsi="Georgia"/>
          <w:i w:val="false"/>
          <w:iCs w:val="false"/>
          <w:color w:val="23272E"/>
          <w:sz w:val="21"/>
          <w:szCs w:val="21"/>
        </w:rPr>
        <w:t xml:space="preserve"> step ups land at renewal. </w:t>
      </w:r>
      <w:r>
        <w:rPr>
          <w:rFonts w:ascii="Georgia" w:cs="Georgia" w:eastAsia="Georgia" w:hAnsi="Georgia"/>
          <w:b/>
          <w:bCs/>
          <w:i w:val="false"/>
          <w:iCs w:val="false"/>
          <w:color w:val="23272E"/>
          <w:sz w:val="21"/>
          <w:szCs w:val="21"/>
        </w:rPr>
        <w:t xml:space="preserve">If they promise renewal on the same terms:</w:t>
      </w:r>
      <w:r>
        <w:rPr>
          <w:rFonts w:ascii="Georgia" w:cs="Georgia" w:eastAsia="Georgia" w:hAnsi="Georgia"/>
          <w:i w:val="false"/>
          <w:iCs w:val="false"/>
          <w:color w:val="23272E"/>
          <w:sz w:val="21"/>
          <w:szCs w:val="21"/>
        </w:rPr>
        <w:t xml:space="preserve"> the step waits for final expiry and the earnout span stretches to match, so nobody prepays. </w:t>
      </w:r>
      <w:r>
        <w:rPr>
          <w:rFonts w:ascii="Georgia" w:cs="Georgia" w:eastAsia="Georgia" w:hAnsi="Georgia"/>
          <w:b/>
          <w:bCs/>
          <w:i w:val="false"/>
          <w:iCs w:val="false"/>
          <w:color w:val="23272E"/>
          <w:sz w:val="21"/>
          <w:szCs w:val="21"/>
        </w:rPr>
        <w:t xml:space="preserve">If any store holds perpetual fixed terms:</w:t>
      </w:r>
      <w:r>
        <w:rPr>
          <w:rFonts w:ascii="Georgia" w:cs="Georgia" w:eastAsia="Georgia" w:hAnsi="Georgia"/>
          <w:i w:val="false"/>
          <w:iCs w:val="false"/>
          <w:color w:val="23272E"/>
          <w:sz w:val="21"/>
          <w:szCs w:val="21"/>
        </w:rPr>
        <w:t xml:space="preserve"> it gets valued as a fixed 4% annuity inside the earnout base, so no earnout dollar ever pays for a raise that cannot happen.</w:t>
      </w:r>
    </w:p>
    <w:p>
      <w:pPr>
        <w:spacing w:after="180" w:line="320"/>
      </w:pPr>
      <w:r>
        <w:rPr>
          <w:rFonts w:ascii="Georgia" w:cs="Georgia" w:eastAsia="Georgia" w:hAnsi="Georgia"/>
          <w:b/>
          <w:bCs/>
          <w:i w:val="false"/>
          <w:iCs w:val="false"/>
          <w:color w:val="23272E"/>
          <w:sz w:val="21"/>
          <w:szCs w:val="21"/>
        </w:rPr>
        <w:t xml:space="preserve">The seven affiliate outlets pay no royalty on about $22M of annualized sales.</w:t>
      </w:r>
      <w:r>
        <w:rPr>
          <w:rFonts w:ascii="Georgia" w:cs="Georgia" w:eastAsia="Georgia" w:hAnsi="Georgia"/>
          <w:i w:val="false"/>
          <w:iCs w:val="false"/>
          <w:color w:val="23272E"/>
          <w:sz w:val="21"/>
          <w:szCs w:val="21"/>
        </w:rPr>
        <w:t xml:space="preserve"> They are owned by the sellers and their families, so this is a negotiated price term rather than free value, and it is not underwritten in the return case. What is not optional is paper: after closing those stores trade under marks the holdco owns, so each needs a written license executed at closing. Two are owned by the minority members, and charging a controlled entity's minority a royalty they never paid invites a claim, so their license settles when their 45% does. Tom's Del Mar store sits inside his package on a current form agreement. The remaining four turn on ownership the document pull confirms, and the price reflects whatever they sign.</w:t>
      </w:r>
    </w:p>
    <w:p>
      <w:pPr>
        <w:spacing w:after="180" w:line="320"/>
      </w:pPr>
      <w:r>
        <w:rPr>
          <w:rFonts w:ascii="Georgia" w:cs="Georgia" w:eastAsia="Georgia" w:hAnsi="Georgia"/>
          <w:b/>
          <w:bCs/>
          <w:i w:val="false"/>
          <w:iCs w:val="false"/>
          <w:color w:val="23272E"/>
          <w:sz w:val="21"/>
          <w:szCs w:val="21"/>
        </w:rPr>
        <w:t xml:space="preserve">If the sellers own the sites under the company operated restaurants:</w:t>
      </w:r>
      <w:r>
        <w:rPr>
          <w:rFonts w:ascii="Georgia" w:cs="Georgia" w:eastAsia="Georgia" w:hAnsi="Georgia"/>
          <w:i w:val="false"/>
          <w:iCs w:val="false"/>
          <w:color w:val="23272E"/>
          <w:sz w:val="21"/>
          <w:szCs w:val="21"/>
        </w:rPr>
        <w:t xml:space="preserve"> those properties are bought at appraised value at closing, papered as a related party transaction with an independent appraisal, a market rate lease, and Gart consent. </w:t>
      </w:r>
      <w:r>
        <w:rPr>
          <w:rFonts w:ascii="Georgia" w:cs="Georgia" w:eastAsia="Georgia" w:hAnsi="Georgia"/>
          <w:b/>
          <w:bCs/>
          <w:i w:val="false"/>
          <w:iCs w:val="false"/>
          <w:color w:val="23272E"/>
          <w:sz w:val="21"/>
          <w:szCs w:val="21"/>
        </w:rPr>
        <w:t xml:space="preserve">If a third party owns them:</w:t>
      </w:r>
      <w:r>
        <w:rPr>
          <w:rFonts w:ascii="Georgia" w:cs="Georgia" w:eastAsia="Georgia" w:hAnsi="Georgia"/>
          <w:i w:val="false"/>
          <w:iCs w:val="false"/>
          <w:color w:val="23272E"/>
          <w:sz w:val="21"/>
          <w:szCs w:val="21"/>
        </w:rPr>
        <w:t xml:space="preserve"> the position starts with new store sites and with franchisees who own their buildings and want liquidity. Ownership of all 33 addresses is public record and gets pulled during diligence at no cost, before any real estate capital is committed.</w:t>
      </w:r>
    </w:p>
    <w:p>
      <w:pPr>
        <w:spacing w:after="180" w:line="320"/>
      </w:pPr>
      <w:r>
        <w:rPr>
          <w:rFonts w:ascii="Georgia" w:cs="Georgia" w:eastAsia="Georgia" w:hAnsi="Georgia"/>
          <w:b/>
          <w:bCs/>
          <w:i w:val="false"/>
          <w:iCs w:val="false"/>
          <w:color w:val="23272E"/>
          <w:sz w:val="21"/>
          <w:szCs w:val="21"/>
        </w:rPr>
        <w:t xml:space="preserve">If executed agreements confirm stores at or past expiration</w:t>
      </w:r>
      <w:r>
        <w:rPr>
          <w:rFonts w:ascii="Georgia" w:cs="Georgia" w:eastAsia="Georgia" w:hAnsi="Georgia"/>
          <w:i w:val="false"/>
          <w:iCs w:val="false"/>
          <w:color w:val="23272E"/>
          <w:sz w:val="21"/>
          <w:szCs w:val="21"/>
        </w:rPr>
        <w:t xml:space="preserve"> (the Exhibit C outlet list shows the largest franchisee holding 11 of the 26 franchises, about 45% of franchised sales and roughly half the royalty line, so the concentration is confirmed even though the expiry dates are not): a standstill covenant runs from the letter date, no renewal, addendum, transfer consent, or rate concession without buyer consent. Re papering those stores onto the current form is a closing condition; any store not papered at closing adjusts price by formula or carries a specific indemnity. Tom's founder's royalty carries the same gate: its first tranche pays only after that group signs.</w:t>
      </w:r>
    </w:p>
    <w:p>
      <w:pPr>
        <w:spacing w:after="180" w:line="320"/>
      </w:pPr>
      <w:r>
        <w:rPr>
          <w:rFonts w:ascii="Georgia" w:cs="Georgia" w:eastAsia="Georgia" w:hAnsi="Georgia"/>
          <w:b/>
          <w:bCs/>
          <w:i w:val="false"/>
          <w:iCs w:val="false"/>
          <w:color w:val="23272E"/>
          <w:sz w:val="21"/>
          <w:szCs w:val="21"/>
        </w:rPr>
        <w:t xml:space="preserve">If the largest operator declines to renew and de brands:</w:t>
      </w:r>
      <w:r>
        <w:rPr>
          <w:rFonts w:ascii="Georgia" w:cs="Georgia" w:eastAsia="Georgia" w:hAnsi="Georgia"/>
          <w:i w:val="false"/>
          <w:iCs w:val="false"/>
          <w:color w:val="23272E"/>
          <w:sz w:val="21"/>
          <w:szCs w:val="21"/>
        </w:rPr>
        <w:t xml:space="preserve"> California will not enforce the post term covenant, so the grid prices that outcome instead of litigating it. The grid values that bloc's royalties at zero until papered, and the deal stands on the remainder or walks. This is why the expired agreements read in week two alongside the OA and the license.</w:t>
      </w:r>
    </w:p>
    <w:p>
      <w:pPr>
        <w:spacing w:after="180" w:line="320"/>
      </w:pPr>
      <w:r>
        <w:rPr>
          <w:rFonts w:ascii="Georgia" w:cs="Georgia" w:eastAsia="Georgia" w:hAnsi="Georgia"/>
          <w:b/>
          <w:bCs/>
          <w:i w:val="false"/>
          <w:iCs w:val="false"/>
          <w:color w:val="23272E"/>
          <w:sz w:val="21"/>
          <w:szCs w:val="21"/>
        </w:rPr>
        <w:t xml:space="preserve">If the bottom up audit finds the stream lighter than Exhibit B:</w:t>
      </w:r>
      <w:r>
        <w:rPr>
          <w:rFonts w:ascii="Georgia" w:cs="Georgia" w:eastAsia="Georgia" w:hAnsi="Georgia"/>
          <w:i w:val="false"/>
          <w:iCs w:val="false"/>
          <w:color w:val="23272E"/>
          <w:sz w:val="21"/>
          <w:szCs w:val="21"/>
        </w:rPr>
        <w:t xml:space="preserve"> nothing gets renegotiated. The economic grid prices off verified trailing twelve month royalties by formula, with rate mix a named input, so findings reprice the deal automatically.</w:t>
      </w:r>
    </w:p>
    <w:p>
      <w:pPr>
        <w:spacing w:after="180" w:line="320"/>
      </w:pPr>
      <w:r>
        <w:rPr>
          <w:rFonts w:ascii="Georgia" w:cs="Georgia" w:eastAsia="Georgia" w:hAnsi="Georgia"/>
          <w:b/>
          <w:bCs/>
          <w:i w:val="false"/>
          <w:iCs w:val="false"/>
          <w:color w:val="23272E"/>
          <w:sz w:val="21"/>
          <w:szCs w:val="21"/>
        </w:rPr>
        <w:t xml:space="preserve">If store P&amp;Ls show margins too thin for 5% plus 1%:</w:t>
      </w:r>
      <w:r>
        <w:rPr>
          <w:rFonts w:ascii="Georgia" w:cs="Georgia" w:eastAsia="Georgia" w:hAnsi="Georgia"/>
          <w:i w:val="false"/>
          <w:iCs w:val="false"/>
          <w:color w:val="23272E"/>
          <w:sz w:val="21"/>
          <w:szCs w:val="21"/>
        </w:rPr>
        <w:t xml:space="preserve"> renewal riders inside a pre authorized band, for example 4 to 4.5 to 5 across two renewals, trade rate for term, and the Creative Fund invests first in the thinnest stores.</w:t>
      </w:r>
    </w:p>
    <w:p>
      <w:pPr>
        <w:spacing w:after="180" w:line="320"/>
      </w:pPr>
      <w:r>
        <w:rPr>
          <w:rFonts w:ascii="Georgia" w:cs="Georgia" w:eastAsia="Georgia" w:hAnsi="Georgia"/>
          <w:b/>
          <w:bCs/>
          <w:i w:val="false"/>
          <w:iCs w:val="false"/>
          <w:color w:val="23272E"/>
          <w:sz w:val="21"/>
          <w:szCs w:val="21"/>
        </w:rPr>
        <w:t xml:space="preserve">If holders claim against the $586K of deferred fee obligations:</w:t>
      </w:r>
      <w:r>
        <w:rPr>
          <w:rFonts w:ascii="Georgia" w:cs="Georgia" w:eastAsia="Georgia" w:hAnsi="Georgia"/>
          <w:i w:val="false"/>
          <w:iCs w:val="false"/>
          <w:color w:val="23272E"/>
          <w:sz w:val="21"/>
          <w:szCs w:val="21"/>
        </w:rPr>
        <w:t xml:space="preserve"> a holdback carved from Tom's note covers unperformed obligations, with offset rights.</w:t>
      </w:r>
    </w:p>
    <w:p>
      <w:pPr>
        <w:spacing w:after="180" w:line="320"/>
      </w:pPr>
      <w:r>
        <w:rPr>
          <w:rFonts w:ascii="Georgia" w:cs="Georgia" w:eastAsia="Georgia" w:hAnsi="Georgia"/>
          <w:b/>
          <w:bCs/>
          <w:i w:val="false"/>
          <w:iCs w:val="false"/>
          <w:color w:val="23272E"/>
          <w:sz w:val="21"/>
          <w:szCs w:val="21"/>
        </w:rPr>
        <w:t xml:space="preserve">If an unknown liability surfaces after closing:</w:t>
      </w:r>
      <w:r>
        <w:rPr>
          <w:rFonts w:ascii="Georgia" w:cs="Georgia" w:eastAsia="Georgia" w:hAnsi="Georgia"/>
          <w:i w:val="false"/>
          <w:iCs w:val="false"/>
          <w:color w:val="23272E"/>
          <w:sz w:val="21"/>
          <w:szCs w:val="21"/>
        </w:rPr>
        <w:t xml:space="preserve"> the seller note doubles as indemnity security. Offset rights against the note collateralize the indemnity without an escrow fight.</w:t>
      </w:r>
    </w:p>
    <w:p>
      <w:pPr>
        <w:spacing w:after="180" w:line="320"/>
      </w:pPr>
      <w:r>
        <w:rPr>
          <w:rFonts w:ascii="Georgia" w:cs="Georgia" w:eastAsia="Georgia" w:hAnsi="Georgia"/>
          <w:b/>
          <w:bCs/>
          <w:i w:val="false"/>
          <w:iCs w:val="false"/>
          <w:color w:val="23272E"/>
          <w:sz w:val="21"/>
          <w:szCs w:val="21"/>
        </w:rPr>
        <w:t xml:space="preserve">If the lender funds short:</w:t>
      </w:r>
      <w:r>
        <w:rPr>
          <w:rFonts w:ascii="Georgia" w:cs="Georgia" w:eastAsia="Georgia" w:hAnsi="Georgia"/>
          <w:i w:val="false"/>
          <w:iCs w:val="false"/>
          <w:color w:val="23272E"/>
          <w:sz w:val="21"/>
          <w:szCs w:val="21"/>
        </w:rPr>
        <w:t xml:space="preserve"> cash at close flexes down and the note flexes up, total price unchanged. Tom's tax preference already points the same direction.</w:t>
      </w:r>
    </w:p>
    <w:p>
      <w:pPr>
        <w:spacing w:after="180" w:line="320"/>
      </w:pPr>
      <w:r>
        <w:rPr>
          <w:rFonts w:ascii="Georgia" w:cs="Georgia" w:eastAsia="Georgia" w:hAnsi="Georgia"/>
          <w:b/>
          <w:bCs/>
          <w:i w:val="false"/>
          <w:iCs w:val="false"/>
          <w:color w:val="23272E"/>
          <w:sz w:val="21"/>
          <w:szCs w:val="21"/>
        </w:rPr>
        <w:t xml:space="preserve">If Tom dies or loses capacity mid process:</w:t>
      </w:r>
      <w:r>
        <w:rPr>
          <w:rFonts w:ascii="Georgia" w:cs="Georgia" w:eastAsia="Georgia" w:hAnsi="Georgia"/>
          <w:i w:val="false"/>
          <w:iCs w:val="false"/>
          <w:color w:val="23272E"/>
          <w:sz w:val="21"/>
          <w:szCs w:val="21"/>
        </w:rPr>
        <w:t xml:space="preserve"> the letter stage includes a signed option on JJ&amp;N at the formula price and exclusivity that binds his estate, so the marks survive the loss of their most important signature.</w:t>
      </w:r>
    </w:p>
    <w:p>
      <w:pPr>
        <w:spacing w:after="180" w:line="320"/>
      </w:pPr>
      <w:r>
        <w:rPr>
          <w:rFonts w:ascii="Georgia" w:cs="Georgia" w:eastAsia="Georgia" w:hAnsi="Georgia"/>
          <w:b/>
          <w:bCs/>
          <w:i w:val="false"/>
          <w:iCs w:val="false"/>
          <w:color w:val="23272E"/>
          <w:sz w:val="21"/>
          <w:szCs w:val="21"/>
        </w:rPr>
        <w:t xml:space="preserve">If California registration drags:</w:t>
      </w:r>
      <w:r>
        <w:rPr>
          <w:rFonts w:ascii="Georgia" w:cs="Georgia" w:eastAsia="Georgia" w:hAnsi="Georgia"/>
          <w:i w:val="false"/>
          <w:iCs w:val="false"/>
          <w:color w:val="23272E"/>
          <w:sz w:val="21"/>
          <w:szCs w:val="21"/>
        </w:rPr>
        <w:t xml:space="preserve"> the FDD amendment gets drafted during diligence and filed the day of closing. The blackout pauses new franchise sales only, never royalties, renewals, or transfers.</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The capital plan · two options, one destination</w:t>
      </w:r>
    </w:p>
    <w:p>
      <w:pPr>
        <w:pStyle w:val="Heading2"/>
        <w:spacing w:after="80" w:before="240"/>
      </w:pPr>
      <w:r>
        <w:rPr>
          <w:rFonts w:ascii="Georgia" w:cs="Georgia" w:eastAsia="Georgia" w:hAnsi="Georgia"/>
          <w:b/>
          <w:bCs/>
          <w:i w:val="false"/>
          <w:iCs w:val="false"/>
          <w:color w:val="23272E"/>
          <w:sz w:val="23"/>
          <w:szCs w:val="23"/>
        </w:rPr>
        <w:t xml:space="preserve">1. </w:t>
      </w:r>
      <w:r>
        <w:rPr>
          <w:rFonts w:ascii="Georgia" w:cs="Georgia" w:eastAsia="Georgia" w:hAnsi="Georgia"/>
          <w:b/>
          <w:bCs/>
          <w:i w:val="false"/>
          <w:iCs w:val="false"/>
          <w:color w:val="23272E"/>
          <w:sz w:val="23"/>
          <w:szCs w:val="23"/>
        </w:rPr>
        <w:t xml:space="preserve">Option 1. Control first, partners follow on the same terms</w:t>
      </w:r>
    </w:p>
    <w:p>
      <w:pPr>
        <w:spacing w:after="180" w:line="320"/>
      </w:pPr>
      <w:r>
        <w:rPr>
          <w:rFonts w:ascii="Georgia" w:cs="Georgia" w:eastAsia="Georgia" w:hAnsi="Georgia"/>
          <w:i w:val="false"/>
          <w:iCs w:val="false"/>
          <w:color w:val="23272E"/>
          <w:sz w:val="21"/>
          <w:szCs w:val="21"/>
        </w:rPr>
        <w:t xml:space="preserve">Close 1 takes control and the brand for the small check: Tom's 55% plus JJ&amp;N plus the license. One condition: </w:t>
      </w:r>
      <w:r>
        <w:rPr>
          <w:rFonts w:ascii="Georgia" w:cs="Georgia" w:eastAsia="Georgia" w:hAnsi="Georgia"/>
          <w:b/>
          <w:bCs/>
          <w:i w:val="false"/>
          <w:iCs w:val="false"/>
          <w:color w:val="23272E"/>
          <w:sz w:val="21"/>
          <w:szCs w:val="21"/>
        </w:rPr>
        <w:t xml:space="preserve">the OA must hand operating control to the 55%</w:t>
      </w:r>
      <w:r>
        <w:rPr>
          <w:rFonts w:ascii="Georgia" w:cs="Georgia" w:eastAsia="Georgia" w:hAnsi="Georgia"/>
          <w:i w:val="false"/>
          <w:iCs w:val="false"/>
          <w:color w:val="23272E"/>
          <w:sz w:val="21"/>
          <w:szCs w:val="21"/>
        </w:rPr>
        <w:t xml:space="preserve">. Three managers sit today; control gets papered at Close 1 or Close 1 does not happen. From there, weekly royalties pay the paper, the renewal conversation calendar starts immediately, stores get bought at market validated prices when owners choose to sell, and the </w:t>
      </w:r>
      <w:r>
        <w:rPr>
          <w:rFonts w:ascii="Georgia" w:cs="Georgia" w:eastAsia="Georgia" w:hAnsi="Georgia"/>
          <w:b/>
          <w:bCs/>
          <w:i w:val="false"/>
          <w:iCs w:val="false"/>
          <w:color w:val="23272E"/>
          <w:sz w:val="21"/>
          <w:szCs w:val="21"/>
        </w:rPr>
        <w:t xml:space="preserve">holdco takes the ground</w:t>
      </w:r>
      <w:r>
        <w:rPr>
          <w:rFonts w:ascii="Georgia" w:cs="Georgia" w:eastAsia="Georgia" w:hAnsi="Georgia"/>
          <w:i w:val="false"/>
          <w:iCs w:val="false"/>
          <w:color w:val="23272E"/>
          <w:sz w:val="21"/>
          <w:szCs w:val="21"/>
        </w:rPr>
        <w:t xml:space="preserve">: sites under the company operated restaurants, sites for new stores, and sale and leasebacks with franchisees who own their buildings. Bret and Mike come in on the same structure when ready, and a second Gart draw happens </w:t>
      </w:r>
      <w:r>
        <w:rPr>
          <w:rFonts w:ascii="Georgia" w:cs="Georgia" w:eastAsia="Georgia" w:hAnsi="Georgia"/>
          <w:b/>
          <w:bCs/>
          <w:i w:val="false"/>
          <w:iCs w:val="false"/>
          <w:color w:val="23272E"/>
          <w:sz w:val="21"/>
          <w:szCs w:val="21"/>
        </w:rPr>
        <w:t xml:space="preserve">only after they have signed</w:t>
      </w:r>
      <w:r>
        <w:rPr>
          <w:rFonts w:ascii="Georgia" w:cs="Georgia" w:eastAsia="Georgia" w:hAnsi="Georgia"/>
          <w:i w:val="false"/>
          <w:iCs w:val="false"/>
          <w:color w:val="23272E"/>
          <w:sz w:val="21"/>
          <w:szCs w:val="21"/>
        </w:rPr>
        <w:t xml:space="preserve">. These are the cheapest dollars in the plan, and every seller receives installment treatment.</w:t>
      </w:r>
    </w:p>
    <w:p>
      <w:pPr>
        <w:spacing w:after="180" w:line="320"/>
      </w:pPr>
      <w:r>
        <w:rPr>
          <w:rFonts w:ascii="Georgia" w:cs="Georgia" w:eastAsia="Georgia" w:hAnsi="Georgia"/>
          <w:b/>
          <w:bCs/>
          <w:i w:val="false"/>
          <w:iCs w:val="false"/>
          <w:color w:val="23272E"/>
          <w:sz w:val="21"/>
          <w:szCs w:val="21"/>
        </w:rPr>
        <w:t xml:space="preserve">If they never sell, Option 1 still pencils:</w:t>
      </w:r>
      <w:r>
        <w:rPr>
          <w:rFonts w:ascii="Georgia" w:cs="Georgia" w:eastAsia="Georgia" w:hAnsi="Georgia"/>
          <w:i w:val="false"/>
          <w:iCs w:val="false"/>
          <w:color w:val="23272E"/>
          <w:sz w:val="21"/>
          <w:szCs w:val="21"/>
        </w:rPr>
        <w:t xml:space="preserve"> the second draw never happens, and the return is 55% of a growing royalty stream, senior returns on growth capital, and real estate held at the holdco. Their stake stays an open option, priced by formula, with a standing put and call after year five. Every holdco to BBRG transaction stays arm's length and documented; they keep information rights.</w:t>
      </w:r>
    </w:p>
    <w:p>
      <w:pPr>
        <w:pStyle w:val="Heading2"/>
        <w:spacing w:after="80" w:before="240"/>
      </w:pPr>
      <w:r>
        <w:rPr>
          <w:rFonts w:ascii="Georgia" w:cs="Georgia" w:eastAsia="Georgia" w:hAnsi="Georgia"/>
          <w:b/>
          <w:bCs/>
          <w:i w:val="false"/>
          <w:iCs w:val="false"/>
          <w:color w:val="23272E"/>
          <w:sz w:val="23"/>
          <w:szCs w:val="23"/>
        </w:rPr>
        <w:t xml:space="preserve">2. </w:t>
      </w:r>
      <w:r>
        <w:rPr>
          <w:rFonts w:ascii="Georgia" w:cs="Georgia" w:eastAsia="Georgia" w:hAnsi="Georgia"/>
          <w:b/>
          <w:bCs/>
          <w:i w:val="false"/>
          <w:iCs w:val="false"/>
          <w:color w:val="23272E"/>
          <w:sz w:val="23"/>
          <w:szCs w:val="23"/>
        </w:rPr>
        <w:t xml:space="preserve">Option 2. The fast close: bigger outlay, same destination, sooner</w:t>
      </w:r>
    </w:p>
    <w:p>
      <w:pPr>
        <w:spacing w:after="180" w:line="320"/>
      </w:pPr>
      <w:r>
        <w:rPr>
          <w:rFonts w:ascii="Georgia" w:cs="Georgia" w:eastAsia="Georgia" w:hAnsi="Georgia"/>
          <w:i w:val="false"/>
          <w:iCs w:val="false"/>
          <w:color w:val="23272E"/>
          <w:sz w:val="21"/>
          <w:szCs w:val="21"/>
        </w:rPr>
        <w:t xml:space="preserve">Everyone signs the same day: Tom, Bret and Mike, JJ&amp;N. The check is bigger and earlier. Adjusted cash flow, net of the management fee and the related party rebate, runs about $1.9M and supports roughly </w:t>
      </w:r>
      <w:r>
        <w:rPr>
          <w:rFonts w:ascii="Georgia" w:cs="Georgia" w:eastAsia="Georgia" w:hAnsi="Georgia"/>
          <w:b/>
          <w:bCs/>
          <w:i w:val="false"/>
          <w:iCs w:val="false"/>
          <w:color w:val="23272E"/>
          <w:sz w:val="21"/>
          <w:szCs w:val="21"/>
        </w:rPr>
        <w:t xml:space="preserve">$3M to $4M of senior debt</w:t>
      </w:r>
      <w:r>
        <w:rPr>
          <w:rFonts w:ascii="Georgia" w:cs="Georgia" w:eastAsia="Georgia" w:hAnsi="Georgia"/>
          <w:i w:val="false"/>
          <w:iCs w:val="false"/>
          <w:color w:val="23272E"/>
          <w:sz w:val="21"/>
          <w:szCs w:val="21"/>
        </w:rPr>
        <w:t xml:space="preserve"> at 1.35 to 1.6x coverage, backed by the LC. Gart equity bridges the balance of the day one check; the installment note and earnout carry the rest. Lower leverage is the better deal anyway, since the platform build is the return. The extra cash buys time and certainty: 100% and the marks day one, one disclosure event. Five signatures invite five negotiations, so: </w:t>
      </w:r>
      <w:r>
        <w:rPr>
          <w:rFonts w:ascii="Georgia" w:cs="Georgia" w:eastAsia="Georgia" w:hAnsi="Georgia"/>
          <w:b/>
          <w:bCs/>
          <w:i w:val="false"/>
          <w:iCs w:val="false"/>
          <w:color w:val="23272E"/>
          <w:sz w:val="21"/>
          <w:szCs w:val="21"/>
        </w:rPr>
        <w:t xml:space="preserve">one purchase agreement for every seller on identical terms</w:t>
      </w:r>
      <w:r>
        <w:rPr>
          <w:rFonts w:ascii="Georgia" w:cs="Georgia" w:eastAsia="Georgia" w:hAnsi="Georgia"/>
          <w:i w:val="false"/>
          <w:iCs w:val="false"/>
          <w:color w:val="23272E"/>
          <w:sz w:val="21"/>
          <w:szCs w:val="21"/>
        </w:rPr>
        <w:t xml:space="preserve">, an omnibus exclusivity signed by all five up front, signatures delivered into escrow as each party finalizes, and a </w:t>
      </w:r>
      <w:r>
        <w:rPr>
          <w:rFonts w:ascii="Georgia" w:cs="Georgia" w:eastAsia="Georgia" w:hAnsi="Georgia"/>
          <w:b/>
          <w:bCs/>
          <w:i w:val="false"/>
          <w:iCs w:val="false"/>
          <w:color w:val="23272E"/>
          <w:sz w:val="21"/>
          <w:szCs w:val="21"/>
        </w:rPr>
        <w:t xml:space="preserve">drop dead date</w:t>
      </w:r>
      <w:r>
        <w:rPr>
          <w:rFonts w:ascii="Georgia" w:cs="Georgia" w:eastAsia="Georgia" w:hAnsi="Georgia"/>
          <w:i w:val="false"/>
          <w:iCs w:val="false"/>
          <w:color w:val="23272E"/>
          <w:sz w:val="21"/>
          <w:szCs w:val="21"/>
        </w:rPr>
        <w:t xml:space="preserve"> after which the offer steps down and then expires. The earnout clocks run from a fixed calendar date, so delay costs the sellers, not us. JJ&amp;N signs the same day; there is no closing without the marks.</w:t>
      </w:r>
    </w:p>
    <w:p>
      <w:pPr>
        <w:spacing w:after="180" w:line="320"/>
      </w:pPr>
      <w:r>
        <w:rPr>
          <w:rFonts w:ascii="Georgia" w:cs="Georgia" w:eastAsia="Georgia" w:hAnsi="Georgia"/>
          <w:i w:val="false"/>
          <w:iCs w:val="false"/>
          <w:color w:val="23272E"/>
          <w:sz w:val="21"/>
          <w:szCs w:val="21"/>
        </w:rPr>
        <w:t xml:space="preserve">The offer is fair on day one, priced off the same per point formula for every seller and fixed in a </w:t>
      </w:r>
      <w:r>
        <w:rPr>
          <w:rFonts w:ascii="Georgia" w:cs="Georgia" w:eastAsia="Georgia" w:hAnsi="Georgia"/>
          <w:b/>
          <w:bCs/>
          <w:i w:val="false"/>
          <w:iCs w:val="false"/>
          <w:color w:val="23272E"/>
          <w:sz w:val="21"/>
          <w:szCs w:val="21"/>
        </w:rPr>
        <w:t xml:space="preserve">one page economic grid all five sign at the letter stage</w:t>
      </w:r>
      <w:r>
        <w:rPr>
          <w:rFonts w:ascii="Georgia" w:cs="Georgia" w:eastAsia="Georgia" w:hAnsi="Georgia"/>
          <w:i w:val="false"/>
          <w:iCs w:val="false"/>
          <w:color w:val="23272E"/>
          <w:sz w:val="21"/>
          <w:szCs w:val="21"/>
        </w:rPr>
        <w:t xml:space="preserve">, with the hardest signatures negotiated first and Tom's finalized last. The offer does not improve with delay: the committed capital has an expiry, and any later deal reprices off the then current numbers, net of value the holdco has built in the meantime. Bret and Mike can </w:t>
      </w:r>
      <w:r>
        <w:rPr>
          <w:rFonts w:ascii="Georgia" w:cs="Georgia" w:eastAsia="Georgia" w:hAnsi="Georgia"/>
          <w:b/>
          <w:bCs/>
          <w:i w:val="false"/>
          <w:iCs w:val="false"/>
          <w:color w:val="23272E"/>
          <w:sz w:val="21"/>
          <w:szCs w:val="21"/>
        </w:rPr>
        <w:t xml:space="preserve">sell the 45% and keep running their stores, or sell the stores as well.</w:t>
      </w:r>
      <w:r>
        <w:rPr>
          <w:rFonts w:ascii="Georgia" w:cs="Georgia" w:eastAsia="Georgia" w:hAnsi="Georgia"/>
          <w:i w:val="false"/>
          <w:iCs w:val="false"/>
          <w:color w:val="23272E"/>
          <w:sz w:val="21"/>
          <w:szCs w:val="21"/>
        </w:rPr>
        <w:t xml:space="preserve"> Wherever control closes first, the plan starts without waiting. The omnibus exclusivity carries confidentiality covering franchisee communications until closing, so a longer process cannot leak into the system.</w:t>
      </w:r>
    </w:p>
    <w:p>
      <w:pPr>
        <w:pStyle w:val="Heading2"/>
        <w:spacing w:after="80" w:before="240"/>
      </w:pPr>
      <w:r>
        <w:rPr>
          <w:rFonts w:ascii="Georgia" w:cs="Georgia" w:eastAsia="Georgia" w:hAnsi="Georgia"/>
          <w:b/>
          <w:bCs/>
          <w:i w:val="false"/>
          <w:iCs w:val="false"/>
          <w:color w:val="23272E"/>
          <w:sz w:val="23"/>
          <w:szCs w:val="23"/>
        </w:rPr>
        <w:t xml:space="preserve">✓. </w:t>
      </w:r>
      <w:r>
        <w:rPr>
          <w:rFonts w:ascii="Georgia" w:cs="Georgia" w:eastAsia="Georgia" w:hAnsi="Georgia"/>
          <w:b/>
          <w:bCs/>
          <w:i w:val="false"/>
          <w:iCs w:val="false"/>
          <w:color w:val="23272E"/>
          <w:sz w:val="23"/>
          <w:szCs w:val="23"/>
        </w:rPr>
        <w:t xml:space="preserve">The OA decides which option is open</w:t>
      </w:r>
    </w:p>
    <w:p>
      <w:pPr>
        <w:spacing w:after="180" w:line="320"/>
      </w:pPr>
      <w:r>
        <w:rPr>
          <w:rFonts w:ascii="Georgia" w:cs="Georgia" w:eastAsia="Georgia" w:hAnsi="Georgia"/>
          <w:i w:val="false"/>
          <w:iCs w:val="false"/>
          <w:color w:val="23272E"/>
          <w:sz w:val="21"/>
          <w:szCs w:val="21"/>
        </w:rPr>
        <w:t xml:space="preserve">A drag along means we choose either option. Blocked transfers mean the fast close is the only lawful shape. Free transfers make the slow build available and cheapest. Each Gart dollar draws against a cross conditioned closing that cannot leave a partial state, and the business largely finances its own purchase out of weekly royalties.</w:t>
      </w:r>
    </w:p>
    <w:p>
      <w:pPr>
        <w:pStyle w:val="Heading2"/>
        <w:spacing w:after="80" w:before="240"/>
      </w:pPr>
      <w:r>
        <w:rPr>
          <w:rFonts w:ascii="Georgia" w:cs="Georgia" w:eastAsia="Georgia" w:hAnsi="Georgia"/>
          <w:b/>
          <w:bCs/>
          <w:i w:val="false"/>
          <w:iCs w:val="false"/>
          <w:color w:val="23272E"/>
          <w:sz w:val="23"/>
          <w:szCs w:val="23"/>
        </w:rPr>
        <w:t xml:space="preserve">$. </w:t>
      </w:r>
      <w:r>
        <w:rPr>
          <w:rFonts w:ascii="Georgia" w:cs="Georgia" w:eastAsia="Georgia" w:hAnsi="Georgia"/>
          <w:b/>
          <w:bCs/>
          <w:i w:val="false"/>
          <w:iCs w:val="false"/>
          <w:color w:val="23272E"/>
          <w:sz w:val="23"/>
          <w:szCs w:val="23"/>
        </w:rPr>
        <w:t xml:space="preserve">Who pays for the work. Gart carries the deal budget from day one</w:t>
      </w:r>
    </w:p>
    <w:p>
      <w:pPr>
        <w:spacing w:after="180" w:line="320"/>
      </w:pPr>
      <w:r>
        <w:rPr>
          <w:rFonts w:ascii="Georgia" w:cs="Georgia" w:eastAsia="Georgia" w:hAnsi="Georgia"/>
          <w:i w:val="false"/>
          <w:iCs w:val="false"/>
          <w:color w:val="23272E"/>
          <w:sz w:val="21"/>
          <w:szCs w:val="21"/>
        </w:rPr>
        <w:t xml:space="preserve">From the day the letter signs, Gart funds the diligence budget: </w:t>
      </w:r>
      <w:r>
        <w:rPr>
          <w:rFonts w:ascii="Georgia" w:cs="Georgia" w:eastAsia="Georgia" w:hAnsi="Georgia"/>
          <w:b/>
          <w:bCs/>
          <w:i w:val="false"/>
          <w:iCs w:val="false"/>
          <w:color w:val="23272E"/>
          <w:sz w:val="21"/>
          <w:szCs w:val="21"/>
        </w:rPr>
        <w:t xml:space="preserve">monthly work fees to the deal team</w:t>
      </w:r>
      <w:r>
        <w:rPr>
          <w:rFonts w:ascii="Georgia" w:cs="Georgia" w:eastAsia="Georgia" w:hAnsi="Georgia"/>
          <w:i w:val="false"/>
          <w:iCs w:val="false"/>
          <w:color w:val="23272E"/>
          <w:sz w:val="21"/>
          <w:szCs w:val="21"/>
        </w:rPr>
        <w:t xml:space="preserve">, plus legal, accounting, lien searches, and the FA file review. All in, a budget of $900K to $1.4M across 90 to 120 days, staged behind the week two read: franchise regulatory, corporate, tax, and IP counsel, the full FA file review, and an independent quality of earnings not run by the operating partners (the audit opinion carries no legible firm name). Work fees pay monthly and credit against the deal team's closing fee if we fund. If a gate fails, spending stops there.</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The offer to Tom · his $20M, achieved on performance</w:t>
      </w:r>
    </w:p>
    <w:p>
      <w:pPr>
        <w:spacing w:after="240" w:before="120" w:line="300"/>
      </w:pPr>
      <w:r>
        <w:rPr>
          <w:rFonts w:ascii="Georgia" w:cs="Georgia" w:eastAsia="Georgia" w:hAnsi="Georgia"/>
          <w:i w:val="false"/>
          <w:iCs w:val="false"/>
          <w:color w:val="5A564E"/>
          <w:sz w:val="19"/>
          <w:szCs w:val="19"/>
        </w:rPr>
        <w:t xml:space="preserve">Tom's anchor is $20M. We pay it in three pieces: $4M to $5M wired at closing, a $6M to $7M note, and an $8M to $10M earnout. The firm portion is the cash plus the note, $10M to $12M; the earnout carries the balance as the system performs. Ranges below are the opening shape, locked at Gate 1 and re cut after the Gate 2 document pull prices the royalty schedule. Tom delivers his 55% and the JJ&amp;N marks; his package prices both together. The per point price for BBRG equity alone, net of the marks, is what carries to the partners' 45% when they come in on the same structure.</w:t>
      </w:r>
    </w:p>
    <w:p>
      <w:pPr>
        <w:pStyle w:val="Heading2"/>
        <w:spacing w:after="80" w:before="240"/>
      </w:pPr>
      <w:r>
        <w:rPr>
          <w:rFonts w:ascii="Georgia" w:cs="Georgia" w:eastAsia="Georgia" w:hAnsi="Georgia"/>
          <w:b/>
          <w:bCs/>
          <w:i w:val="false"/>
          <w:iCs w:val="false"/>
          <w:color w:val="23272E"/>
          <w:sz w:val="23"/>
          <w:szCs w:val="23"/>
        </w:rPr>
        <w:t xml:space="preserve">1. </w:t>
      </w:r>
      <w:r>
        <w:rPr>
          <w:rFonts w:ascii="Georgia" w:cs="Georgia" w:eastAsia="Georgia" w:hAnsi="Georgia"/>
          <w:b/>
          <w:bCs/>
          <w:i w:val="false"/>
          <w:iCs w:val="false"/>
          <w:color w:val="23272E"/>
          <w:sz w:val="23"/>
          <w:szCs w:val="23"/>
        </w:rPr>
        <w:t xml:space="preserve">$4M to $5M cash at closing</w:t>
      </w:r>
    </w:p>
    <w:p>
      <w:pPr>
        <w:spacing w:after="180" w:line="320"/>
      </w:pPr>
      <w:r>
        <w:rPr>
          <w:rFonts w:ascii="Georgia" w:cs="Georgia" w:eastAsia="Georgia" w:hAnsi="Georgia"/>
          <w:i w:val="false"/>
          <w:iCs w:val="false"/>
          <w:color w:val="23272E"/>
          <w:sz w:val="21"/>
          <w:szCs w:val="21"/>
        </w:rPr>
        <w:t xml:space="preserve">Funded by the LC backed senior facility, wired day one, no financing contingency. Roughly three years of his current BBRG distributions.</w:t>
      </w:r>
    </w:p>
    <w:p>
      <w:pPr>
        <w:pStyle w:val="Heading2"/>
        <w:spacing w:after="80" w:before="240"/>
      </w:pPr>
      <w:r>
        <w:rPr>
          <w:rFonts w:ascii="Georgia" w:cs="Georgia" w:eastAsia="Georgia" w:hAnsi="Georgia"/>
          <w:b/>
          <w:bCs/>
          <w:i w:val="false"/>
          <w:iCs w:val="false"/>
          <w:color w:val="23272E"/>
          <w:sz w:val="23"/>
          <w:szCs w:val="23"/>
        </w:rPr>
        <w:t xml:space="preserve">2. </w:t>
      </w:r>
      <w:r>
        <w:rPr>
          <w:rFonts w:ascii="Georgia" w:cs="Georgia" w:eastAsia="Georgia" w:hAnsi="Georgia"/>
          <w:b/>
          <w:bCs/>
          <w:i w:val="false"/>
          <w:iCs w:val="false"/>
          <w:color w:val="23272E"/>
          <w:sz w:val="23"/>
          <w:szCs w:val="23"/>
        </w:rPr>
        <w:t xml:space="preserve">$6M to $7M installment note</w:t>
      </w:r>
    </w:p>
    <w:p>
      <w:pPr>
        <w:spacing w:after="180" w:line="320"/>
      </w:pPr>
      <w:r>
        <w:rPr>
          <w:rFonts w:ascii="Georgia" w:cs="Georgia" w:eastAsia="Georgia" w:hAnsi="Georgia"/>
          <w:i w:val="false"/>
          <w:iCs w:val="false"/>
          <w:color w:val="23272E"/>
          <w:sz w:val="21"/>
          <w:szCs w:val="21"/>
        </w:rPr>
        <w:t xml:space="preserve">Paid over about seven years with stated AFR interest, serviced by the royalty stream, taxed to him only as payments land. Roughly $1M a year before the earnout.</w:t>
      </w:r>
    </w:p>
    <w:p>
      <w:pPr>
        <w:pStyle w:val="Heading2"/>
        <w:spacing w:after="80" w:before="240"/>
      </w:pPr>
      <w:r>
        <w:rPr>
          <w:rFonts w:ascii="Georgia" w:cs="Georgia" w:eastAsia="Georgia" w:hAnsi="Georgia"/>
          <w:b/>
          <w:bCs/>
          <w:i w:val="false"/>
          <w:iCs w:val="false"/>
          <w:color w:val="23272E"/>
          <w:sz w:val="23"/>
          <w:szCs w:val="23"/>
        </w:rPr>
        <w:t xml:space="preserve">3. </w:t>
      </w:r>
      <w:r>
        <w:rPr>
          <w:rFonts w:ascii="Georgia" w:cs="Georgia" w:eastAsia="Georgia" w:hAnsi="Georgia"/>
          <w:b/>
          <w:bCs/>
          <w:i w:val="false"/>
          <w:iCs w:val="false"/>
          <w:color w:val="23272E"/>
          <w:sz w:val="23"/>
          <w:szCs w:val="23"/>
        </w:rPr>
        <w:t xml:space="preserve">Founder's royalty of $8M to $10M, taking him to $20M</w:t>
      </w:r>
    </w:p>
    <w:p>
      <w:pPr>
        <w:spacing w:after="180" w:line="320"/>
      </w:pPr>
      <w:r>
        <w:rPr>
          <w:rFonts w:ascii="Georgia" w:cs="Georgia" w:eastAsia="Georgia" w:hAnsi="Georgia"/>
          <w:i w:val="false"/>
          <w:iCs w:val="false"/>
          <w:color w:val="23272E"/>
          <w:sz w:val="21"/>
          <w:szCs w:val="21"/>
        </w:rPr>
        <w:t xml:space="preserve">Paid as a share of royalty revenue </w:t>
      </w:r>
      <w:r>
        <w:rPr>
          <w:rFonts w:ascii="Georgia" w:cs="Georgia" w:eastAsia="Georgia" w:hAnsi="Georgia"/>
          <w:b/>
          <w:bCs/>
          <w:i w:val="false"/>
          <w:iCs w:val="false"/>
          <w:color w:val="23272E"/>
          <w:sz w:val="21"/>
          <w:szCs w:val="21"/>
        </w:rPr>
        <w:t xml:space="preserve">above the FY25 base of $2.76M</w:t>
      </w:r>
      <w:r>
        <w:rPr>
          <w:rFonts w:ascii="Georgia" w:cs="Georgia" w:eastAsia="Georgia" w:hAnsi="Georgia"/>
          <w:i w:val="false"/>
          <w:iCs w:val="false"/>
          <w:color w:val="23272E"/>
          <w:sz w:val="21"/>
          <w:szCs w:val="21"/>
        </w:rPr>
        <w:t xml:space="preserve">, over a set span of years, capped at the amount that brings his total to $20M. Renewals, added stores, and sales growth generate the incremental dollars that pay him. The first tranche is conditioned on the largest operator: it pays only once that group's expired and expiring stores sign the current form. Tom is the one person who can convert them, and the royalty points his effort exactly there. No employment strings, so it stays capital gain. The price above the firm portion funds itself or it is not owed.</w:t>
      </w:r>
    </w:p>
    <w:p>
      <w:pPr>
        <w:pStyle w:val="Heading2"/>
        <w:spacing w:after="80" w:before="240"/>
      </w:pPr>
      <w:r>
        <w:rPr>
          <w:rFonts w:ascii="Georgia" w:cs="Georgia" w:eastAsia="Georgia" w:hAnsi="Georgia"/>
          <w:b/>
          <w:bCs/>
          <w:i w:val="false"/>
          <w:iCs w:val="false"/>
          <w:color w:val="23272E"/>
          <w:sz w:val="23"/>
          <w:szCs w:val="23"/>
        </w:rPr>
        <w:t xml:space="preserve">4. </w:t>
      </w:r>
      <w:r>
        <w:rPr>
          <w:rFonts w:ascii="Georgia" w:cs="Georgia" w:eastAsia="Georgia" w:hAnsi="Georgia"/>
          <w:b/>
          <w:bCs/>
          <w:i w:val="false"/>
          <w:iCs w:val="false"/>
          <w:color w:val="23272E"/>
          <w:sz w:val="23"/>
          <w:szCs w:val="23"/>
        </w:rPr>
        <w:t xml:space="preserve">The legacy package</w:t>
      </w:r>
    </w:p>
    <w:p>
      <w:pPr>
        <w:spacing w:after="180" w:line="320"/>
      </w:pPr>
      <w:r>
        <w:rPr>
          <w:rFonts w:ascii="Georgia" w:cs="Georgia" w:eastAsia="Georgia" w:hAnsi="Georgia"/>
          <w:i w:val="false"/>
          <w:iCs w:val="false"/>
          <w:color w:val="23272E"/>
          <w:sz w:val="21"/>
          <w:szCs w:val="21"/>
        </w:rPr>
        <w:t xml:space="preserve">He keeps the original Del Mar operation on a current form franchise agreement, with the holdco holding first refusal and a call at the grid price. Founder and advisory role on separate, market rate paper. His team keeps their seats. His holdco equity comes from JJ&amp;N: the marks entity converts to units at closing, tax deferred, Del Mar carved out first.</w:t>
      </w:r>
    </w:p>
    <w:p>
      <w:pPr>
        <w:pStyle w:val="Heading2"/>
        <w:spacing w:after="80" w:before="240"/>
      </w:pPr>
      <w:r>
        <w:rPr>
          <w:rFonts w:ascii="Georgia" w:cs="Georgia" w:eastAsia="Georgia" w:hAnsi="Georgia"/>
          <w:b/>
          <w:bCs/>
          <w:i w:val="false"/>
          <w:iCs w:val="false"/>
          <w:color w:val="23272E"/>
          <w:sz w:val="23"/>
          <w:szCs w:val="23"/>
        </w:rPr>
        <w:t xml:space="preserve">=. </w:t>
      </w:r>
      <w:r>
        <w:rPr>
          <w:rFonts w:ascii="Georgia" w:cs="Georgia" w:eastAsia="Georgia" w:hAnsi="Georgia"/>
          <w:b/>
          <w:bCs/>
          <w:i w:val="false"/>
          <w:iCs w:val="false"/>
          <w:color w:val="23272E"/>
          <w:sz w:val="23"/>
          <w:szCs w:val="23"/>
        </w:rPr>
        <w:t xml:space="preserve">$20M total to Tom, paid on his system's schedule</w:t>
      </w:r>
    </w:p>
    <w:p>
      <w:pPr>
        <w:spacing w:after="180" w:line="320"/>
      </w:pPr>
      <w:r>
        <w:rPr>
          <w:rFonts w:ascii="Georgia" w:cs="Georgia" w:eastAsia="Georgia" w:hAnsi="Georgia"/>
          <w:i w:val="false"/>
          <w:iCs w:val="false"/>
          <w:color w:val="23272E"/>
          <w:sz w:val="21"/>
          <w:szCs w:val="21"/>
        </w:rPr>
        <w:t xml:space="preserve">Wired at closing: $4M to $5M, the only money that moves on day one. The note adds $6M to $7M over about seven years, making the firm portion $10M to $12M, sized against what the audited stream services today. The remaining $8M to $10M pays from royalty dollars above the FY25 base as the system grows.</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The letter to Tom · what makes him sign</w:t>
      </w:r>
    </w:p>
    <w:p>
      <w:pPr>
        <w:spacing w:after="180" w:line="320"/>
      </w:pPr>
      <w:r>
        <w:rPr>
          <w:rFonts w:ascii="Georgia" w:cs="Georgia" w:eastAsia="Georgia" w:hAnsi="Georgia"/>
          <w:b/>
          <w:bCs/>
          <w:i w:val="false"/>
          <w:iCs w:val="false"/>
          <w:color w:val="23272E"/>
          <w:sz w:val="21"/>
          <w:szCs w:val="21"/>
        </w:rPr>
        <w:t xml:space="preserve">The headline is his number.</w:t>
      </w:r>
      <w:r>
        <w:rPr>
          <w:rFonts w:ascii="Georgia" w:cs="Georgia" w:eastAsia="Georgia" w:hAnsi="Georgia"/>
          <w:i w:val="false"/>
          <w:iCs w:val="false"/>
          <w:color w:val="23272E"/>
          <w:sz w:val="21"/>
          <w:szCs w:val="21"/>
        </w:rPr>
        <w:t xml:space="preserve"> $20M, the figure he anchored on, achieved on performance. Of it, $4M to $5M wires at closing; the note and the founder's royalty carry the rest.</w:t>
      </w:r>
    </w:p>
    <w:p>
      <w:pPr>
        <w:spacing w:after="180" w:line="320"/>
      </w:pPr>
      <w:r>
        <w:rPr>
          <w:rFonts w:ascii="Georgia" w:cs="Georgia" w:eastAsia="Georgia" w:hAnsi="Georgia"/>
          <w:b/>
          <w:bCs/>
          <w:i w:val="false"/>
          <w:iCs w:val="false"/>
          <w:color w:val="23272E"/>
          <w:sz w:val="21"/>
          <w:szCs w:val="21"/>
        </w:rPr>
        <w:t xml:space="preserve">The cash is committed.</w:t>
      </w:r>
      <w:r>
        <w:rPr>
          <w:rFonts w:ascii="Georgia" w:cs="Georgia" w:eastAsia="Georgia" w:hAnsi="Georgia"/>
          <w:i w:val="false"/>
          <w:iCs w:val="false"/>
          <w:color w:val="23272E"/>
          <w:sz w:val="21"/>
          <w:szCs w:val="21"/>
        </w:rPr>
        <w:t xml:space="preserve"> The LC removes the financing contingency: the day one check is funded before the letter goes out. </w:t>
      </w:r>
    </w:p>
    <w:p>
      <w:pPr>
        <w:spacing w:after="180" w:line="320"/>
      </w:pPr>
      <w:r>
        <w:rPr>
          <w:rFonts w:ascii="Georgia" w:cs="Georgia" w:eastAsia="Georgia" w:hAnsi="Georgia"/>
          <w:b/>
          <w:bCs/>
          <w:i w:val="false"/>
          <w:iCs w:val="false"/>
          <w:color w:val="23272E"/>
          <w:sz w:val="21"/>
          <w:szCs w:val="21"/>
        </w:rPr>
        <w:t xml:space="preserve">His income never dips.</w:t>
      </w:r>
      <w:r>
        <w:rPr>
          <w:rFonts w:ascii="Georgia" w:cs="Georgia" w:eastAsia="Georgia" w:hAnsi="Georgia"/>
          <w:i w:val="false"/>
          <w:iCs w:val="false"/>
          <w:color w:val="23272E"/>
          <w:sz w:val="21"/>
          <w:szCs w:val="21"/>
        </w:rPr>
        <w:t xml:space="preserve"> From the first year, note payments plus earnout meet or beat the roughly $1.4M BBRG pays him today, taxed as capital gain instead of ordinary income.</w:t>
      </w:r>
    </w:p>
    <w:p>
      <w:pPr>
        <w:spacing w:after="180" w:line="320"/>
      </w:pPr>
      <w:r>
        <w:rPr>
          <w:rFonts w:ascii="Georgia" w:cs="Georgia" w:eastAsia="Georgia" w:hAnsi="Georgia"/>
          <w:b/>
          <w:bCs/>
          <w:i w:val="false"/>
          <w:iCs w:val="false"/>
          <w:color w:val="23272E"/>
          <w:sz w:val="21"/>
          <w:szCs w:val="21"/>
        </w:rPr>
        <w:t xml:space="preserve">The earnout is the founder's royalty.</w:t>
      </w:r>
      <w:r>
        <w:rPr>
          <w:rFonts w:ascii="Georgia" w:cs="Georgia" w:eastAsia="Georgia" w:hAnsi="Georgia"/>
          <w:i w:val="false"/>
          <w:iCs w:val="false"/>
          <w:color w:val="23272E"/>
          <w:sz w:val="21"/>
          <w:szCs w:val="21"/>
        </w:rPr>
        <w:t xml:space="preserve"> He participates in every renewal and every store added for the span of the succession, paid from the growth itself.</w:t>
      </w:r>
    </w:p>
    <w:p>
      <w:pPr>
        <w:spacing w:after="180" w:line="320"/>
      </w:pPr>
      <w:r>
        <w:rPr>
          <w:rFonts w:ascii="Georgia" w:cs="Georgia" w:eastAsia="Georgia" w:hAnsi="Georgia"/>
          <w:b/>
          <w:bCs/>
          <w:i w:val="false"/>
          <w:iCs w:val="false"/>
          <w:color w:val="23272E"/>
          <w:sz w:val="21"/>
          <w:szCs w:val="21"/>
        </w:rPr>
        <w:t xml:space="preserve">The legacy terms cost little and matter to him.</w:t>
      </w:r>
      <w:r>
        <w:rPr>
          <w:rFonts w:ascii="Georgia" w:cs="Georgia" w:eastAsia="Georgia" w:hAnsi="Georgia"/>
          <w:i w:val="false"/>
          <w:iCs w:val="false"/>
          <w:color w:val="23272E"/>
          <w:sz w:val="21"/>
          <w:szCs w:val="21"/>
        </w:rPr>
        <w:t xml:space="preserve"> He keeps the original Del Mar operation, franchised like every other store. A founder title and advisory role on separate, market rate paper. His people, the ops and development team named in the FDD, keep their seats. Written commitment to the brand he named. And his JJ&amp;N contribution means he owns a piece of what it becomes.</w:t>
      </w:r>
    </w:p>
    <w:p>
      <w:pPr>
        <w:spacing w:after="180" w:line="320"/>
      </w:pPr>
      <w:r>
        <w:rPr>
          <w:rFonts w:ascii="Georgia" w:cs="Georgia" w:eastAsia="Georgia" w:hAnsi="Georgia"/>
          <w:b/>
          <w:bCs/>
          <w:i w:val="false"/>
          <w:iCs w:val="false"/>
          <w:color w:val="23272E"/>
          <w:sz w:val="21"/>
          <w:szCs w:val="21"/>
        </w:rPr>
        <w:t xml:space="preserve">The letter asks for one thing back:</w:t>
      </w:r>
      <w:r>
        <w:rPr>
          <w:rFonts w:ascii="Georgia" w:cs="Georgia" w:eastAsia="Georgia" w:hAnsi="Georgia"/>
          <w:i w:val="false"/>
          <w:iCs w:val="false"/>
          <w:color w:val="23272E"/>
          <w:sz w:val="21"/>
          <w:szCs w:val="21"/>
        </w:rPr>
        <w:t xml:space="preserve"> exclusivity covering the 55% and JJ&amp;N together.</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The seller structure · how Tom is taxed</w:t>
      </w:r>
    </w:p>
    <w:p>
      <w:pPr>
        <w:pStyle w:val="Heading2"/>
        <w:spacing w:after="80" w:before="240"/>
      </w:pPr>
      <w:r>
        <w:rPr>
          <w:rFonts w:ascii="Georgia" w:cs="Georgia" w:eastAsia="Georgia" w:hAnsi="Georgia"/>
          <w:b/>
          <w:bCs/>
          <w:i w:val="false"/>
          <w:iCs w:val="false"/>
          <w:color w:val="23272E"/>
          <w:sz w:val="23"/>
          <w:szCs w:val="23"/>
        </w:rPr>
        <w:t xml:space="preserve">1. </w:t>
      </w:r>
      <w:r>
        <w:rPr>
          <w:rFonts w:ascii="Georgia" w:cs="Georgia" w:eastAsia="Georgia" w:hAnsi="Georgia"/>
          <w:b/>
          <w:bCs/>
          <w:i w:val="false"/>
          <w:iCs w:val="false"/>
          <w:color w:val="23272E"/>
          <w:sz w:val="23"/>
          <w:szCs w:val="23"/>
        </w:rPr>
        <w:t xml:space="preserve">He sells membership interests, taxed as capital gain</w:t>
      </w:r>
    </w:p>
    <w:p>
      <w:pPr>
        <w:spacing w:after="180" w:line="320"/>
      </w:pPr>
      <w:r>
        <w:rPr>
          <w:rFonts w:ascii="Georgia" w:cs="Georgia" w:eastAsia="Georgia" w:hAnsi="Georgia"/>
          <w:i w:val="false"/>
          <w:iCs w:val="false"/>
          <w:color w:val="23272E"/>
          <w:sz w:val="21"/>
          <w:szCs w:val="21"/>
        </w:rPr>
        <w:t xml:space="preserve">We buy his </w:t>
      </w:r>
      <w:r>
        <w:rPr>
          <w:rFonts w:ascii="Georgia" w:cs="Georgia" w:eastAsia="Georgia" w:hAnsi="Georgia"/>
          <w:b/>
          <w:bCs/>
          <w:i w:val="false"/>
          <w:iCs w:val="false"/>
          <w:color w:val="23272E"/>
          <w:sz w:val="21"/>
          <w:szCs w:val="21"/>
        </w:rPr>
        <w:t xml:space="preserve">membership interests</w:t>
      </w:r>
      <w:r>
        <w:rPr>
          <w:rFonts w:ascii="Georgia" w:cs="Georgia" w:eastAsia="Georgia" w:hAnsi="Georgia"/>
          <w:i w:val="false"/>
          <w:iCs w:val="false"/>
          <w:color w:val="23272E"/>
          <w:sz w:val="21"/>
          <w:szCs w:val="21"/>
        </w:rPr>
        <w:t xml:space="preserve"> in BBRG, LLC. For a partnership taxed LLC that is long term capital gain to him, roughly 23.8% federal at the top instead of ordinary rates. The hot asset carve out is small: receivables run about $149K. [IRC §741] [§751]</w:t>
      </w:r>
    </w:p>
    <w:p>
      <w:pPr>
        <w:pStyle w:val="Heading2"/>
        <w:spacing w:after="80" w:before="240"/>
      </w:pPr>
      <w:r>
        <w:rPr>
          <w:rFonts w:ascii="Georgia" w:cs="Georgia" w:eastAsia="Georgia" w:hAnsi="Georgia"/>
          <w:b/>
          <w:bCs/>
          <w:i w:val="false"/>
          <w:iCs w:val="false"/>
          <w:color w:val="23272E"/>
          <w:sz w:val="23"/>
          <w:szCs w:val="23"/>
        </w:rPr>
        <w:t xml:space="preserve">2. </w:t>
      </w:r>
      <w:r>
        <w:rPr>
          <w:rFonts w:ascii="Georgia" w:cs="Georgia" w:eastAsia="Georgia" w:hAnsi="Georgia"/>
          <w:b/>
          <w:bCs/>
          <w:i w:val="false"/>
          <w:iCs w:val="false"/>
          <w:color w:val="23272E"/>
          <w:sz w:val="23"/>
          <w:szCs w:val="23"/>
        </w:rPr>
        <w:t xml:space="preserve">The earnout is purchase price on the installment method</w:t>
      </w:r>
    </w:p>
    <w:p>
      <w:pPr>
        <w:spacing w:after="180" w:line="320"/>
      </w:pPr>
      <w:r>
        <w:rPr>
          <w:rFonts w:ascii="Georgia" w:cs="Georgia" w:eastAsia="Georgia" w:hAnsi="Georgia"/>
          <w:i w:val="false"/>
          <w:iCs w:val="false"/>
          <w:color w:val="23272E"/>
          <w:sz w:val="21"/>
          <w:szCs w:val="21"/>
        </w:rPr>
        <w:t xml:space="preserve">Papered as contingent purchase price for the equity, he pays tax </w:t>
      </w:r>
      <w:r>
        <w:rPr>
          <w:rFonts w:ascii="Georgia" w:cs="Georgia" w:eastAsia="Georgia" w:hAnsi="Georgia"/>
          <w:b/>
          <w:bCs/>
          <w:i w:val="false"/>
          <w:iCs w:val="false"/>
          <w:color w:val="23272E"/>
          <w:sz w:val="21"/>
          <w:szCs w:val="21"/>
        </w:rPr>
        <w:t xml:space="preserve">as each payment lands</w:t>
      </w:r>
      <w:r>
        <w:rPr>
          <w:rFonts w:ascii="Georgia" w:cs="Georgia" w:eastAsia="Georgia" w:hAnsi="Georgia"/>
          <w:i w:val="false"/>
          <w:iCs w:val="false"/>
          <w:color w:val="23272E"/>
          <w:sz w:val="21"/>
          <w:szCs w:val="21"/>
        </w:rPr>
        <w:t xml:space="preserve">. Each payment carries stated interest at the AFR so the IRS does not recharacterize principal into interest for him. [IRC §453] [§483 / §1274]</w:t>
      </w:r>
    </w:p>
    <w:p>
      <w:pPr>
        <w:pStyle w:val="Heading2"/>
        <w:spacing w:after="80" w:before="240"/>
      </w:pPr>
      <w:r>
        <w:rPr>
          <w:rFonts w:ascii="Georgia" w:cs="Georgia" w:eastAsia="Georgia" w:hAnsi="Georgia"/>
          <w:b/>
          <w:bCs/>
          <w:i w:val="false"/>
          <w:iCs w:val="false"/>
          <w:color w:val="23272E"/>
          <w:sz w:val="23"/>
          <w:szCs w:val="23"/>
        </w:rPr>
        <w:t xml:space="preserve">3. </w:t>
      </w:r>
      <w:r>
        <w:rPr>
          <w:rFonts w:ascii="Georgia" w:cs="Georgia" w:eastAsia="Georgia" w:hAnsi="Georgia"/>
          <w:b/>
          <w:bCs/>
          <w:i w:val="false"/>
          <w:iCs w:val="false"/>
          <w:color w:val="23272E"/>
          <w:sz w:val="23"/>
          <w:szCs w:val="23"/>
        </w:rPr>
        <w:t xml:space="preserve">No employment conditions on the earnout</w:t>
      </w:r>
    </w:p>
    <w:p>
      <w:pPr>
        <w:spacing w:after="180" w:line="320"/>
      </w:pPr>
      <w:r>
        <w:rPr>
          <w:rFonts w:ascii="Georgia" w:cs="Georgia" w:eastAsia="Georgia" w:hAnsi="Georgia"/>
          <w:i w:val="false"/>
          <w:iCs w:val="false"/>
          <w:color w:val="23272E"/>
          <w:sz w:val="21"/>
          <w:szCs w:val="21"/>
        </w:rPr>
        <w:t xml:space="preserve">The earnout must never depend on Tom staying employed. Any service condition converts capital gain into ordinary compensation plus payroll tax. Transition consulting is separate paper at a market rate, and the earnout pays whether he shows up or not.</w:t>
      </w:r>
    </w:p>
    <w:p>
      <w:pPr>
        <w:pStyle w:val="Heading2"/>
        <w:spacing w:after="80" w:before="240"/>
      </w:pPr>
      <w:r>
        <w:rPr>
          <w:rFonts w:ascii="Georgia" w:cs="Georgia" w:eastAsia="Georgia" w:hAnsi="Georgia"/>
          <w:b/>
          <w:bCs/>
          <w:i w:val="false"/>
          <w:iCs w:val="false"/>
          <w:color w:val="23272E"/>
          <w:sz w:val="23"/>
          <w:szCs w:val="23"/>
        </w:rPr>
        <w:t xml:space="preserve">4. </w:t>
      </w:r>
      <w:r>
        <w:rPr>
          <w:rFonts w:ascii="Georgia" w:cs="Georgia" w:eastAsia="Georgia" w:hAnsi="Georgia"/>
          <w:b/>
          <w:bCs/>
          <w:i w:val="false"/>
          <w:iCs w:val="false"/>
          <w:color w:val="23272E"/>
          <w:sz w:val="23"/>
          <w:szCs w:val="23"/>
        </w:rPr>
        <w:t xml:space="preserve">Any marks sale is a fixed price, complete transfer</w:t>
      </w:r>
    </w:p>
    <w:p>
      <w:pPr>
        <w:spacing w:after="180" w:line="320"/>
      </w:pPr>
      <w:r>
        <w:rPr>
          <w:rFonts w:ascii="Georgia" w:cs="Georgia" w:eastAsia="Georgia" w:hAnsi="Georgia"/>
          <w:i w:val="false"/>
          <w:iCs w:val="false"/>
          <w:color w:val="23272E"/>
          <w:sz w:val="21"/>
          <w:szCs w:val="21"/>
        </w:rPr>
        <w:t xml:space="preserve">If JJ&amp;N sells the marks, it is a </w:t>
      </w:r>
      <w:r>
        <w:rPr>
          <w:rFonts w:ascii="Georgia" w:cs="Georgia" w:eastAsia="Georgia" w:hAnsi="Georgia"/>
          <w:b/>
          <w:bCs/>
          <w:i w:val="false"/>
          <w:iCs w:val="false"/>
          <w:color w:val="23272E"/>
          <w:sz w:val="21"/>
          <w:szCs w:val="21"/>
        </w:rPr>
        <w:t xml:space="preserve">fixed price with a complete transfer</w:t>
      </w:r>
      <w:r>
        <w:rPr>
          <w:rFonts w:ascii="Georgia" w:cs="Georgia" w:eastAsia="Georgia" w:hAnsi="Georgia"/>
          <w:i w:val="false"/>
          <w:iCs w:val="false"/>
          <w:color w:val="23272E"/>
          <w:sz w:val="21"/>
          <w:szCs w:val="21"/>
        </w:rPr>
        <w:t xml:space="preserve">. No retained control, no contingent royalty stream, because contingent trademark payments are ordinary income to the seller. If JJ&amp;N's corporate status makes an asset sale double taxed, we repaper the license perpetual and assignable instead and skip the sale. [IRC §1253]</w:t>
      </w:r>
    </w:p>
    <w:p>
      <w:pPr>
        <w:pStyle w:val="Heading2"/>
        <w:spacing w:after="80" w:before="240"/>
      </w:pPr>
      <w:r>
        <w:rPr>
          <w:rFonts w:ascii="Georgia" w:cs="Georgia" w:eastAsia="Georgia" w:hAnsi="Georgia"/>
          <w:b/>
          <w:bCs/>
          <w:i w:val="false"/>
          <w:iCs w:val="false"/>
          <w:color w:val="23272E"/>
          <w:sz w:val="23"/>
          <w:szCs w:val="23"/>
        </w:rPr>
        <w:t xml:space="preserve">5. </w:t>
      </w:r>
      <w:r>
        <w:rPr>
          <w:rFonts w:ascii="Georgia" w:cs="Georgia" w:eastAsia="Georgia" w:hAnsi="Georgia"/>
          <w:b/>
          <w:bCs/>
          <w:i w:val="false"/>
          <w:iCs w:val="false"/>
          <w:color w:val="23272E"/>
          <w:sz w:val="23"/>
          <w:szCs w:val="23"/>
        </w:rPr>
        <w:t xml:space="preserve">The rollover is the JJ&amp;N contribution, tax deferred</w:t>
      </w:r>
    </w:p>
    <w:p>
      <w:pPr>
        <w:spacing w:after="180" w:line="320"/>
      </w:pPr>
      <w:r>
        <w:rPr>
          <w:rFonts w:ascii="Georgia" w:cs="Georgia" w:eastAsia="Georgia" w:hAnsi="Georgia"/>
          <w:i w:val="false"/>
          <w:iCs w:val="false"/>
          <w:color w:val="23272E"/>
          <w:sz w:val="21"/>
          <w:szCs w:val="21"/>
        </w:rPr>
        <w:t xml:space="preserve">Tom contributes the marks entity to the holdco for units instead of selling it for cash. No tax until he sells the units, no cash spent buying the marks, and the brand's founder sits on the holdco cap table for the whole succession. The 55% purchase and the contribution run as separate exchanges to stay clear of the disguised sale rules. Del Mar gets carved out to Tom before the contribution, and JJ&amp;N's corporate tax status sets the carve out mechanics. [IRC §721] [§707]</w:t>
      </w:r>
    </w:p>
    <w:p>
      <w:pPr>
        <w:pStyle w:val="Heading2"/>
        <w:spacing w:after="80" w:before="240"/>
      </w:pPr>
      <w:r>
        <w:rPr>
          <w:rFonts w:ascii="Georgia" w:cs="Georgia" w:eastAsia="Georgia" w:hAnsi="Georgia"/>
          <w:b/>
          <w:bCs/>
          <w:i w:val="false"/>
          <w:iCs w:val="false"/>
          <w:color w:val="23272E"/>
          <w:sz w:val="23"/>
          <w:szCs w:val="23"/>
        </w:rPr>
        <w:t xml:space="preserve">6. </w:t>
      </w:r>
      <w:r>
        <w:rPr>
          <w:rFonts w:ascii="Georgia" w:cs="Georgia" w:eastAsia="Georgia" w:hAnsi="Georgia"/>
          <w:b/>
          <w:bCs/>
          <w:i w:val="false"/>
          <w:iCs w:val="false"/>
          <w:color w:val="23272E"/>
          <w:sz w:val="23"/>
          <w:szCs w:val="23"/>
        </w:rPr>
        <w:t xml:space="preserve">How we pay for all of it</w:t>
      </w:r>
    </w:p>
    <w:p>
      <w:pPr>
        <w:spacing w:after="180" w:line="320"/>
      </w:pPr>
      <w:r>
        <w:rPr>
          <w:rFonts w:ascii="Georgia" w:cs="Georgia" w:eastAsia="Georgia" w:hAnsi="Georgia"/>
          <w:i w:val="false"/>
          <w:iCs w:val="false"/>
          <w:color w:val="23272E"/>
          <w:sz w:val="21"/>
          <w:szCs w:val="21"/>
        </w:rPr>
        <w:t xml:space="preserve">Buying 100% of the LLC interests is treated as an </w:t>
      </w:r>
      <w:r>
        <w:rPr>
          <w:rFonts w:ascii="Georgia" w:cs="Georgia" w:eastAsia="Georgia" w:hAnsi="Georgia"/>
          <w:b/>
          <w:bCs/>
          <w:i w:val="false"/>
          <w:iCs w:val="false"/>
          <w:color w:val="23272E"/>
          <w:sz w:val="21"/>
          <w:szCs w:val="21"/>
        </w:rPr>
        <w:t xml:space="preserve">asset purchase for tax</w:t>
      </w:r>
      <w:r>
        <w:rPr>
          <w:rFonts w:ascii="Georgia" w:cs="Georgia" w:eastAsia="Georgia" w:hAnsi="Georgia"/>
          <w:i w:val="false"/>
          <w:iCs w:val="false"/>
          <w:color w:val="23272E"/>
          <w:sz w:val="21"/>
          <w:szCs w:val="21"/>
        </w:rPr>
        <w:t xml:space="preserve"> on our side. Book equity is about $0.5M, so nearly the entire price steps up and amortizes over 15 years. That deduction stream funds the structure Tom wants. [Rev. Rul. 99-6] [IRC §197] [§743 / §754]</w:t>
      </w:r>
    </w:p>
    <w:p>
      <w:pPr>
        <w:spacing w:after="240" w:before="120" w:line="300"/>
      </w:pPr>
      <w:r>
        <w:rPr>
          <w:rFonts w:ascii="Georgia" w:cs="Georgia" w:eastAsia="Georgia" w:hAnsi="Georgia"/>
          <w:i w:val="false"/>
          <w:iCs w:val="false"/>
          <w:color w:val="5A564E"/>
          <w:sz w:val="19"/>
          <w:szCs w:val="19"/>
        </w:rPr>
        <w:t xml:space="preserve">One caveat: Tom lives in Del Mar, and California taxes his gain at ordinary state rates regardless of structure. The installment method still works for California, but nothing here erases state tax. These are deal design points rather than tax advice, and the final structure runs through tax counsel before anything is signed.</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After closing · where money comes from, in order</w:t>
      </w:r>
    </w:p>
    <w:p>
      <w:pPr>
        <w:pStyle w:val="Heading2"/>
        <w:spacing w:after="80" w:before="240"/>
      </w:pPr>
      <w:r>
        <w:rPr>
          <w:rFonts w:ascii="Georgia" w:cs="Georgia" w:eastAsia="Georgia" w:hAnsi="Georgia"/>
          <w:b/>
          <w:bCs/>
          <w:i w:val="false"/>
          <w:iCs w:val="false"/>
          <w:color w:val="23272E"/>
          <w:sz w:val="23"/>
          <w:szCs w:val="23"/>
        </w:rPr>
        <w:t xml:space="preserve">1. </w:t>
      </w:r>
      <w:r>
        <w:rPr>
          <w:rFonts w:ascii="Georgia" w:cs="Georgia" w:eastAsia="Georgia" w:hAnsi="Georgia"/>
          <w:b/>
          <w:bCs/>
          <w:i w:val="false"/>
          <w:iCs w:val="false"/>
          <w:color w:val="23272E"/>
          <w:sz w:val="23"/>
          <w:szCs w:val="23"/>
        </w:rPr>
        <w:t xml:space="preserve">Weekly cash from day one</w:t>
      </w:r>
    </w:p>
    <w:p>
      <w:pPr>
        <w:spacing w:after="180" w:line="320"/>
      </w:pPr>
      <w:r>
        <w:rPr>
          <w:rFonts w:ascii="Georgia" w:cs="Georgia" w:eastAsia="Georgia" w:hAnsi="Georgia"/>
          <w:b/>
          <w:bCs/>
          <w:i w:val="false"/>
          <w:iCs w:val="false"/>
          <w:color w:val="23272E"/>
          <w:sz w:val="21"/>
          <w:szCs w:val="21"/>
        </w:rPr>
        <w:t xml:space="preserve">5% of gross revenues plus a 1% Creative Fund</w:t>
      </w:r>
      <w:r>
        <w:rPr>
          <w:rFonts w:ascii="Georgia" w:cs="Georgia" w:eastAsia="Georgia" w:hAnsi="Georgia"/>
          <w:i w:val="false"/>
          <w:iCs w:val="false"/>
          <w:color w:val="23272E"/>
          <w:sz w:val="21"/>
          <w:szCs w:val="21"/>
        </w:rPr>
        <w:t xml:space="preserve"> (raisable to 2% on 90 days notice), collected every Wednesday, 52 times a year. [Items 5 and 6]</w:t>
      </w:r>
    </w:p>
    <w:p>
      <w:pPr>
        <w:pStyle w:val="Heading2"/>
        <w:spacing w:after="80" w:before="240"/>
      </w:pPr>
      <w:r>
        <w:rPr>
          <w:rFonts w:ascii="Georgia" w:cs="Georgia" w:eastAsia="Georgia" w:hAnsi="Georgia"/>
          <w:b/>
          <w:bCs/>
          <w:i w:val="false"/>
          <w:iCs w:val="false"/>
          <w:color w:val="23272E"/>
          <w:sz w:val="23"/>
          <w:szCs w:val="23"/>
        </w:rPr>
        <w:t xml:space="preserve">2. </w:t>
      </w:r>
      <w:r>
        <w:rPr>
          <w:rFonts w:ascii="Georgia" w:cs="Georgia" w:eastAsia="Georgia" w:hAnsi="Georgia"/>
          <w:b/>
          <w:bCs/>
          <w:i w:val="false"/>
          <w:iCs w:val="false"/>
          <w:color w:val="23272E"/>
          <w:sz w:val="23"/>
          <w:szCs w:val="23"/>
        </w:rPr>
        <w:t xml:space="preserve">Structural upside at renewal, timing unknown until the FA review</w:t>
      </w:r>
    </w:p>
    <w:p>
      <w:pPr>
        <w:spacing w:after="180" w:line="320"/>
      </w:pPr>
      <w:r>
        <w:rPr>
          <w:rFonts w:ascii="Georgia" w:cs="Georgia" w:eastAsia="Georgia" w:hAnsi="Georgia"/>
          <w:i w:val="false"/>
          <w:iCs w:val="false"/>
          <w:color w:val="23272E"/>
          <w:sz w:val="21"/>
          <w:szCs w:val="21"/>
        </w:rPr>
        <w:t xml:space="preserve">Renewal requires the then current form, which per the contract "WILL CONTAIN THE ROYALTY … PAYABLE BY NEW BOARD AND BREW FRANCHISEES." Legacy 4% stores step up at renewal or expiry; each store's agreement sets the date, and no rate moves mid term. The underwriting does not lean on these raises; if they come slow, the earnout pays slower with them. Average unit volume paces $2.62M per the Q1 2026 report, so the step costs a store about $26K a year, one point of sales. The renewal offer also has to beat the franchisee's alternative: California will not enforce the post term noncompete, so a non renewing store can drop the brand and keep operating. Renewals run as value conversations, with the founder making the case. [FA §5.2(d)] [Item 17(c)]</w:t>
      </w:r>
    </w:p>
    <w:p>
      <w:pPr>
        <w:pStyle w:val="Heading2"/>
        <w:spacing w:after="80" w:before="240"/>
      </w:pPr>
      <w:r>
        <w:rPr>
          <w:rFonts w:ascii="Georgia" w:cs="Georgia" w:eastAsia="Georgia" w:hAnsi="Georgia"/>
          <w:b/>
          <w:bCs/>
          <w:i w:val="false"/>
          <w:iCs w:val="false"/>
          <w:color w:val="23272E"/>
          <w:sz w:val="23"/>
          <w:szCs w:val="23"/>
        </w:rPr>
        <w:t xml:space="preserve">3. </w:t>
      </w:r>
      <w:r>
        <w:rPr>
          <w:rFonts w:ascii="Georgia" w:cs="Georgia" w:eastAsia="Georgia" w:hAnsi="Georgia"/>
          <w:b/>
          <w:bCs/>
          <w:i w:val="false"/>
          <w:iCs w:val="false"/>
          <w:color w:val="23272E"/>
          <w:sz w:val="23"/>
          <w:szCs w:val="23"/>
        </w:rPr>
        <w:t xml:space="preserve">Store sales move buyers onto the current form</w:t>
      </w:r>
    </w:p>
    <w:p>
      <w:pPr>
        <w:spacing w:after="180" w:line="320"/>
      </w:pPr>
      <w:r>
        <w:rPr>
          <w:rFonts w:ascii="Georgia" w:cs="Georgia" w:eastAsia="Georgia" w:hAnsi="Georgia"/>
          <w:i w:val="false"/>
          <w:iCs w:val="false"/>
          <w:color w:val="23272E"/>
          <w:sz w:val="21"/>
          <w:szCs w:val="21"/>
        </w:rPr>
        <w:t xml:space="preserve">Every consented store sale can require the buyer to sign the current form, plus a $10,000 transfer fee. [FA §12.2(c)(iv)]</w:t>
      </w:r>
    </w:p>
    <w:p>
      <w:pPr>
        <w:pStyle w:val="Heading2"/>
        <w:spacing w:after="80" w:before="240"/>
      </w:pPr>
      <w:r>
        <w:rPr>
          <w:rFonts w:ascii="Georgia" w:cs="Georgia" w:eastAsia="Georgia" w:hAnsi="Georgia"/>
          <w:b/>
          <w:bCs/>
          <w:i w:val="false"/>
          <w:iCs w:val="false"/>
          <w:color w:val="23272E"/>
          <w:sz w:val="23"/>
          <w:szCs w:val="23"/>
        </w:rPr>
        <w:t xml:space="preserve">4. </w:t>
      </w:r>
      <w:r>
        <w:rPr>
          <w:rFonts w:ascii="Georgia" w:cs="Georgia" w:eastAsia="Georgia" w:hAnsi="Georgia"/>
          <w:b/>
          <w:bCs/>
          <w:i w:val="false"/>
          <w:iCs w:val="false"/>
          <w:color w:val="23272E"/>
          <w:sz w:val="23"/>
          <w:szCs w:val="23"/>
        </w:rPr>
        <w:t xml:space="preserve">Store buys at market proven prices</w:t>
      </w:r>
    </w:p>
    <w:p>
      <w:pPr>
        <w:spacing w:after="180" w:line="320"/>
      </w:pPr>
      <w:r>
        <w:rPr>
          <w:rFonts w:ascii="Georgia" w:cs="Georgia" w:eastAsia="Georgia" w:hAnsi="Georgia"/>
          <w:i w:val="false"/>
          <w:iCs w:val="false"/>
          <w:color w:val="23272E"/>
          <w:sz w:val="21"/>
          <w:szCs w:val="21"/>
        </w:rPr>
        <w:t xml:space="preserve">Any real offer has to be shown to us in full, and we can take the same deal within 15 days. We acquire at prices a third party already validated. [FA §12.3(b) and (c)]</w:t>
      </w:r>
    </w:p>
    <w:p>
      <w:pPr>
        <w:pStyle w:val="Heading2"/>
        <w:spacing w:after="80" w:before="240"/>
      </w:pPr>
      <w:r>
        <w:rPr>
          <w:rFonts w:ascii="Georgia" w:cs="Georgia" w:eastAsia="Georgia" w:hAnsi="Georgia"/>
          <w:b/>
          <w:bCs/>
          <w:i w:val="false"/>
          <w:iCs w:val="false"/>
          <w:color w:val="23272E"/>
          <w:sz w:val="23"/>
          <w:szCs w:val="23"/>
        </w:rPr>
        <w:t xml:space="preserve">5. </w:t>
      </w:r>
      <w:r>
        <w:rPr>
          <w:rFonts w:ascii="Georgia" w:cs="Georgia" w:eastAsia="Georgia" w:hAnsi="Georgia"/>
          <w:b/>
          <w:bCs/>
          <w:i w:val="false"/>
          <w:iCs w:val="false"/>
          <w:color w:val="23272E"/>
          <w:sz w:val="23"/>
          <w:szCs w:val="23"/>
        </w:rPr>
        <w:t xml:space="preserve">The holdco takes the ground under the system</w:t>
      </w:r>
    </w:p>
    <w:p>
      <w:pPr>
        <w:spacing w:after="180" w:line="320"/>
      </w:pPr>
      <w:r>
        <w:rPr>
          <w:rFonts w:ascii="Georgia" w:cs="Georgia" w:eastAsia="Georgia" w:hAnsi="Georgia"/>
          <w:i w:val="false"/>
          <w:iCs w:val="false"/>
          <w:color w:val="23272E"/>
          <w:sz w:val="21"/>
          <w:szCs w:val="21"/>
        </w:rPr>
        <w:t xml:space="preserve">The franchisor owns no property today. Three tracks build the position: the sites under the seven company operated restaurants, bought at appraised value from sellers already at the table; the site for every new store, taken by the holdco and leased to the operator whether the restaurant is company run or franchised; and franchisee owned sites offered a sale and leaseback, so an owner converts trapped equity to cash and keeps running the store. Rent sits alongside royalty, the property finances against the lease, and depreciation shelters the distributions. A public records review of all 33 addresses costs nothing and establishes which sites are reachable.</w:t>
      </w:r>
    </w:p>
    <w:p>
      <w:pPr>
        <w:pStyle w:val="Heading2"/>
        <w:spacing w:after="80" w:before="240"/>
      </w:pPr>
      <w:r>
        <w:rPr>
          <w:rFonts w:ascii="Georgia" w:cs="Georgia" w:eastAsia="Georgia" w:hAnsi="Georgia"/>
          <w:b/>
          <w:bCs/>
          <w:i w:val="false"/>
          <w:iCs w:val="false"/>
          <w:color w:val="23272E"/>
          <w:sz w:val="23"/>
          <w:szCs w:val="23"/>
        </w:rPr>
        <w:t xml:space="preserve">6. </w:t>
      </w:r>
      <w:r>
        <w:rPr>
          <w:rFonts w:ascii="Georgia" w:cs="Georgia" w:eastAsia="Georgia" w:hAnsi="Georgia"/>
          <w:b/>
          <w:bCs/>
          <w:i w:val="false"/>
          <w:iCs w:val="false"/>
          <w:color w:val="23272E"/>
          <w:sz w:val="23"/>
          <w:szCs w:val="23"/>
        </w:rPr>
        <w:t xml:space="preserve">Measured expansion</w:t>
      </w:r>
    </w:p>
    <w:p>
      <w:pPr>
        <w:spacing w:after="180" w:line="320"/>
      </w:pPr>
      <w:r>
        <w:rPr>
          <w:rFonts w:ascii="Georgia" w:cs="Georgia" w:eastAsia="Georgia" w:hAnsi="Georgia"/>
          <w:i w:val="false"/>
          <w:iCs w:val="false"/>
          <w:color w:val="23272E"/>
          <w:sz w:val="21"/>
          <w:szCs w:val="21"/>
        </w:rPr>
        <w:t xml:space="preserve">New stores sign the current form from day one: $35,000 initial fee, then 5% plus 1% weekly. Each new store is a site decision before it is a franchise decision, since site cost is the largest barrier to a good operator opening and a holdco that holds the ground removes it. $583K of prepaid development deposits sit on the books, two franchise agreements are signed with stores not yet open, the FDD projects three franchised openings next year, and franchise fee revenue doubled in FY25. The holdco adds capital and support to open faster, with the pace set by operations rather than fee collection. Seller side holdco equity has two doors: Tom's, through the JJ&amp;N contribution, and store owners', earned by opening units and hitting growth marks under a written program securities counsel scopes. The operator equity sits separately in the sponsor waterfall. [Item 5] [Exhibit B]</w:t>
      </w:r>
    </w:p>
    <w:p>
      <w:pPr>
        <w:pStyle w:val="Heading2"/>
        <w:spacing w:after="80" w:before="240"/>
      </w:pPr>
      <w:r>
        <w:rPr>
          <w:rFonts w:ascii="Georgia" w:cs="Georgia" w:eastAsia="Georgia" w:hAnsi="Georgia"/>
          <w:b/>
          <w:bCs/>
          <w:i w:val="false"/>
          <w:iCs w:val="false"/>
          <w:color w:val="23272E"/>
          <w:sz w:val="23"/>
          <w:szCs w:val="23"/>
        </w:rPr>
        <w:t xml:space="preserve">7. </w:t>
      </w:r>
      <w:r>
        <w:rPr>
          <w:rFonts w:ascii="Georgia" w:cs="Georgia" w:eastAsia="Georgia" w:hAnsi="Georgia"/>
          <w:b/>
          <w:bCs/>
          <w:i w:val="false"/>
          <w:iCs w:val="false"/>
          <w:color w:val="23272E"/>
          <w:sz w:val="23"/>
          <w:szCs w:val="23"/>
        </w:rPr>
        <w:t xml:space="preserve">The earnout is paid from collected royalties</w:t>
      </w:r>
    </w:p>
    <w:p>
      <w:pPr>
        <w:spacing w:after="180" w:line="320"/>
      </w:pPr>
      <w:r>
        <w:rPr>
          <w:rFonts w:ascii="Georgia" w:cs="Georgia" w:eastAsia="Georgia" w:hAnsi="Georgia"/>
          <w:i w:val="false"/>
          <w:iCs w:val="false"/>
          <w:color w:val="23272E"/>
          <w:sz w:val="21"/>
          <w:szCs w:val="21"/>
        </w:rPr>
        <w:t xml:space="preserve">It gets collected from the royalty stream the seller's own audits prove. We fund the provable part, and performance funds the rest. [Item 21 / Exhibit B]</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The calendar · from letter signature</w:t>
      </w:r>
    </w:p>
    <w:p>
      <w:pPr>
        <w:pStyle w:val="Heading2"/>
        <w:spacing w:after="80" w:before="240"/>
      </w:pPr>
      <w:r>
        <w:rPr>
          <w:rFonts w:ascii="Georgia" w:cs="Georgia" w:eastAsia="Georgia" w:hAnsi="Georgia"/>
          <w:b/>
          <w:bCs/>
          <w:i w:val="false"/>
          <w:iCs w:val="false"/>
          <w:color w:val="23272E"/>
          <w:sz w:val="23"/>
          <w:szCs w:val="23"/>
        </w:rPr>
        <w:t xml:space="preserve">W1. </w:t>
      </w:r>
      <w:r>
        <w:rPr>
          <w:rFonts w:ascii="Georgia" w:cs="Georgia" w:eastAsia="Georgia" w:hAnsi="Georgia"/>
          <w:b/>
          <w:bCs/>
          <w:i w:val="false"/>
          <w:iCs w:val="false"/>
          <w:color w:val="23272E"/>
          <w:sz w:val="23"/>
          <w:szCs w:val="23"/>
        </w:rPr>
        <w:t xml:space="preserve">The letter signs</w:t>
      </w:r>
    </w:p>
    <w:p>
      <w:pPr>
        <w:spacing w:after="180" w:line="320"/>
      </w:pPr>
      <w:r>
        <w:rPr>
          <w:rFonts w:ascii="Georgia" w:cs="Georgia" w:eastAsia="Georgia" w:hAnsi="Georgia"/>
          <w:i w:val="false"/>
          <w:iCs w:val="false"/>
          <w:color w:val="23272E"/>
          <w:sz w:val="21"/>
          <w:szCs w:val="21"/>
        </w:rPr>
        <w:t xml:space="preserve">The letter to Tom with the $20M structure. Exclusivity covering the 55% and JJ&amp;N together, barring any sale or solicitation, </w:t>
      </w:r>
      <w:r>
        <w:rPr>
          <w:rFonts w:ascii="Georgia" w:cs="Georgia" w:eastAsia="Georgia" w:hAnsi="Georgia"/>
          <w:b/>
          <w:bCs/>
          <w:i w:val="false"/>
          <w:iCs w:val="false"/>
          <w:color w:val="23272E"/>
          <w:sz w:val="21"/>
          <w:szCs w:val="21"/>
        </w:rPr>
        <w:t xml:space="preserve">including to other members</w:t>
      </w:r>
      <w:r>
        <w:rPr>
          <w:rFonts w:ascii="Georgia" w:cs="Georgia" w:eastAsia="Georgia" w:hAnsi="Georgia"/>
          <w:i w:val="false"/>
          <w:iCs w:val="false"/>
          <w:color w:val="23272E"/>
          <w:sz w:val="21"/>
          <w:szCs w:val="21"/>
        </w:rPr>
        <w:t xml:space="preserve">. The signed option on JJ&amp;N at formula price, with a term that </w:t>
      </w:r>
      <w:r>
        <w:rPr>
          <w:rFonts w:ascii="Georgia" w:cs="Georgia" w:eastAsia="Georgia" w:hAnsi="Georgia"/>
          <w:b/>
          <w:bCs/>
          <w:i w:val="false"/>
          <w:iCs w:val="false"/>
          <w:color w:val="23272E"/>
          <w:sz w:val="21"/>
          <w:szCs w:val="21"/>
        </w:rPr>
        <w:t xml:space="preserve">runs past the exclusivity window</w:t>
      </w:r>
      <w:r>
        <w:rPr>
          <w:rFonts w:ascii="Georgia" w:cs="Georgia" w:eastAsia="Georgia" w:hAnsi="Georgia"/>
          <w:i w:val="false"/>
          <w:iCs w:val="false"/>
          <w:color w:val="23272E"/>
          <w:sz w:val="21"/>
          <w:szCs w:val="21"/>
        </w:rPr>
        <w:t xml:space="preserve">. A standstill covenant from Tom: no renewal, addendum, transfer consent, or rate concession on any franchise agreement without buyer consent. The fee letter. The budget turns on. Both locks sign before anyone approaches Bret and Mike.</w:t>
      </w:r>
    </w:p>
    <w:p>
      <w:pPr>
        <w:pStyle w:val="Heading2"/>
        <w:spacing w:after="80" w:before="240"/>
      </w:pPr>
      <w:r>
        <w:rPr>
          <w:rFonts w:ascii="Georgia" w:cs="Georgia" w:eastAsia="Georgia" w:hAnsi="Georgia"/>
          <w:b/>
          <w:bCs/>
          <w:i w:val="false"/>
          <w:iCs w:val="false"/>
          <w:color w:val="23272E"/>
          <w:sz w:val="23"/>
          <w:szCs w:val="23"/>
        </w:rPr>
        <w:t xml:space="preserve">W2. </w:t>
      </w:r>
      <w:r>
        <w:rPr>
          <w:rFonts w:ascii="Georgia" w:cs="Georgia" w:eastAsia="Georgia" w:hAnsi="Georgia"/>
          <w:b/>
          <w:bCs/>
          <w:i w:val="false"/>
          <w:iCs w:val="false"/>
          <w:color w:val="23272E"/>
          <w:sz w:val="23"/>
          <w:szCs w:val="23"/>
        </w:rPr>
        <w:t xml:space="preserve">Weeks 2 through 3. The binary documents first</w:t>
      </w:r>
    </w:p>
    <w:p>
      <w:pPr>
        <w:spacing w:after="180" w:line="320"/>
      </w:pPr>
      <w:r>
        <w:rPr>
          <w:rFonts w:ascii="Georgia" w:cs="Georgia" w:eastAsia="Georgia" w:hAnsi="Georgia"/>
          <w:i w:val="false"/>
          <w:iCs w:val="false"/>
          <w:color w:val="23272E"/>
          <w:sz w:val="21"/>
          <w:szCs w:val="21"/>
        </w:rPr>
        <w:t xml:space="preserve">The OA, the license, and the expired or expiring franchise agreements get read before the heavy spend starts. The OA answers the question that can kill the deal: drag, or majority manager rights. If neither, the budget pauses for a go or no go with Gart. The license read and the JJ&amp;N tax answer pick the marks route in the same window.</w:t>
      </w:r>
    </w:p>
    <w:p>
      <w:pPr>
        <w:pStyle w:val="Heading2"/>
        <w:spacing w:after="80" w:before="240"/>
      </w:pPr>
      <w:r>
        <w:rPr>
          <w:rFonts w:ascii="Georgia" w:cs="Georgia" w:eastAsia="Georgia" w:hAnsi="Georgia"/>
          <w:b/>
          <w:bCs/>
          <w:i w:val="false"/>
          <w:iCs w:val="false"/>
          <w:color w:val="23272E"/>
          <w:sz w:val="23"/>
          <w:szCs w:val="23"/>
        </w:rPr>
        <w:t xml:space="preserve">W4. </w:t>
      </w:r>
      <w:r>
        <w:rPr>
          <w:rFonts w:ascii="Georgia" w:cs="Georgia" w:eastAsia="Georgia" w:hAnsi="Georgia"/>
          <w:b/>
          <w:bCs/>
          <w:i w:val="false"/>
          <w:iCs w:val="false"/>
          <w:color w:val="23272E"/>
          <w:sz w:val="23"/>
          <w:szCs w:val="23"/>
        </w:rPr>
        <w:t xml:space="preserve">Weeks 4 through 8. The full file review and the store audit</w:t>
      </w:r>
    </w:p>
    <w:p>
      <w:pPr>
        <w:spacing w:after="180" w:line="320"/>
      </w:pPr>
      <w:r>
        <w:rPr>
          <w:rFonts w:ascii="Georgia" w:cs="Georgia" w:eastAsia="Georgia" w:hAnsi="Georgia"/>
          <w:i w:val="false"/>
          <w:iCs w:val="false"/>
          <w:color w:val="23272E"/>
          <w:sz w:val="21"/>
          <w:szCs w:val="21"/>
        </w:rPr>
        <w:t xml:space="preserve">Full FA file review and the bottom up audit of the royalty stream from store level. Output: the per store schedule of rate, expiry, renewal clause, and transfer clause. This spend starts only after the OA shows a path.</w:t>
      </w:r>
    </w:p>
    <w:p>
      <w:pPr>
        <w:pStyle w:val="Heading2"/>
        <w:spacing w:after="80" w:before="240"/>
      </w:pPr>
      <w:r>
        <w:rPr>
          <w:rFonts w:ascii="Georgia" w:cs="Georgia" w:eastAsia="Georgia" w:hAnsi="Georgia"/>
          <w:b/>
          <w:bCs/>
          <w:i w:val="false"/>
          <w:iCs w:val="false"/>
          <w:color w:val="23272E"/>
          <w:sz w:val="23"/>
          <w:szCs w:val="23"/>
        </w:rPr>
        <w:t xml:space="preserve">W9. </w:t>
      </w:r>
      <w:r>
        <w:rPr>
          <w:rFonts w:ascii="Georgia" w:cs="Georgia" w:eastAsia="Georgia" w:hAnsi="Georgia"/>
          <w:b/>
          <w:bCs/>
          <w:i w:val="false"/>
          <w:iCs w:val="false"/>
          <w:color w:val="23272E"/>
          <w:sz w:val="23"/>
          <w:szCs w:val="23"/>
        </w:rPr>
        <w:t xml:space="preserve">Week 9. Gate verdicts</w:t>
      </w:r>
    </w:p>
    <w:p>
      <w:pPr>
        <w:spacing w:after="180" w:line="320"/>
      </w:pPr>
      <w:r>
        <w:rPr>
          <w:rFonts w:ascii="Georgia" w:cs="Georgia" w:eastAsia="Georgia" w:hAnsi="Georgia"/>
          <w:i w:val="false"/>
          <w:iCs w:val="false"/>
          <w:color w:val="23272E"/>
          <w:sz w:val="21"/>
          <w:szCs w:val="21"/>
        </w:rPr>
        <w:t xml:space="preserve">Each gate passes or we walk. The economic grid gets re cut on verified trailing royalties. The OA read picks Option 1 or the five party shape, per the contingency section.</w:t>
      </w:r>
    </w:p>
    <w:p>
      <w:pPr>
        <w:pStyle w:val="Heading2"/>
        <w:spacing w:after="80" w:before="240"/>
      </w:pPr>
      <w:r>
        <w:rPr>
          <w:rFonts w:ascii="Georgia" w:cs="Georgia" w:eastAsia="Georgia" w:hAnsi="Georgia"/>
          <w:b/>
          <w:bCs/>
          <w:i w:val="false"/>
          <w:iCs w:val="false"/>
          <w:color w:val="23272E"/>
          <w:sz w:val="23"/>
          <w:szCs w:val="23"/>
        </w:rPr>
        <w:t xml:space="preserve">W10. </w:t>
      </w:r>
      <w:r>
        <w:rPr>
          <w:rFonts w:ascii="Georgia" w:cs="Georgia" w:eastAsia="Georgia" w:hAnsi="Georgia"/>
          <w:b/>
          <w:bCs/>
          <w:i w:val="false"/>
          <w:iCs w:val="false"/>
          <w:color w:val="23272E"/>
          <w:sz w:val="23"/>
          <w:szCs w:val="23"/>
        </w:rPr>
        <w:t xml:space="preserve">Weeks 10 through 16. Papers and closing</w:t>
      </w:r>
    </w:p>
    <w:p>
      <w:pPr>
        <w:spacing w:after="180" w:line="320"/>
      </w:pPr>
      <w:r>
        <w:rPr>
          <w:rFonts w:ascii="Georgia" w:cs="Georgia" w:eastAsia="Georgia" w:hAnsi="Georgia"/>
          <w:i w:val="false"/>
          <w:iCs w:val="false"/>
          <w:color w:val="23272E"/>
          <w:sz w:val="21"/>
          <w:szCs w:val="21"/>
        </w:rPr>
        <w:t xml:space="preserve">Definitive documents on the selected route. Close 1, or the five party signing window with escrowed signatures and the drop dead date. FDD amendment drafted in parallel and filed the day of closing.</w:t>
      </w:r>
    </w:p>
    <w:p>
      <w:pPr>
        <w:pStyle w:val="Heading2"/>
        <w:spacing w:after="80" w:before="240"/>
      </w:pPr>
      <w:r>
        <w:rPr>
          <w:rFonts w:ascii="Georgia" w:cs="Georgia" w:eastAsia="Georgia" w:hAnsi="Georgia"/>
          <w:b/>
          <w:bCs/>
          <w:i w:val="false"/>
          <w:iCs w:val="false"/>
          <w:color w:val="23272E"/>
          <w:sz w:val="23"/>
          <w:szCs w:val="23"/>
        </w:rPr>
        <w:t xml:space="preserve">W17. </w:t>
      </w:r>
      <w:r>
        <w:rPr>
          <w:rFonts w:ascii="Georgia" w:cs="Georgia" w:eastAsia="Georgia" w:hAnsi="Georgia"/>
          <w:b/>
          <w:bCs/>
          <w:i w:val="false"/>
          <w:iCs w:val="false"/>
          <w:color w:val="23272E"/>
          <w:sz w:val="23"/>
          <w:szCs w:val="23"/>
        </w:rPr>
        <w:t xml:space="preserve">Week 17 on. The renewal calendar starts</w:t>
      </w:r>
    </w:p>
    <w:p>
      <w:pPr>
        <w:spacing w:after="180" w:line="320"/>
      </w:pPr>
      <w:r>
        <w:rPr>
          <w:rFonts w:ascii="Georgia" w:cs="Georgia" w:eastAsia="Georgia" w:hAnsi="Georgia"/>
          <w:i w:val="false"/>
          <w:iCs w:val="false"/>
          <w:color w:val="23272E"/>
          <w:sz w:val="21"/>
          <w:szCs w:val="21"/>
        </w:rPr>
        <w:t xml:space="preserve">Renewal conversations begin on the calendar the FA schedule produced, with Tom making the calls. Measured expansion and real estate positioning start. The blackout on new franchise sales lifts when the amended FDD registers.</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The ask · what Gart approves today</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diligence budget.</w:t>
      </w:r>
      <w:r>
        <w:rPr>
          <w:rFonts w:ascii="Georgia" w:cs="Georgia" w:eastAsia="Georgia" w:hAnsi="Georgia"/>
          <w:i w:val="false"/>
          <w:iCs w:val="false"/>
          <w:color w:val="23272E"/>
          <w:sz w:val="21"/>
          <w:szCs w:val="21"/>
        </w:rPr>
        <w:t xml:space="preserve"> $900K to $1.4M across 90 to 120 days, itemized, capped, staged: the OA, license, and expired FA read comes first, and the heavy spend starts only if the OA shows a drag or majority manager rights. Includes an independent quality of earnings.</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fee letter</w:t>
      </w:r>
      <w:r>
        <w:rPr>
          <w:rFonts w:ascii="Georgia" w:cs="Georgia" w:eastAsia="Georgia" w:hAnsi="Georgia"/>
          <w:i w:val="false"/>
          <w:iCs w:val="false"/>
          <w:color w:val="23272E"/>
          <w:sz w:val="21"/>
          <w:szCs w:val="21"/>
        </w:rPr>
        <w:t xml:space="preserve"> for the deal team, work fees credited against the closing fee if we fund.</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letter to Tom.</w:t>
      </w:r>
      <w:r>
        <w:rPr>
          <w:rFonts w:ascii="Georgia" w:cs="Georgia" w:eastAsia="Georgia" w:hAnsi="Georgia"/>
          <w:i w:val="false"/>
          <w:iCs w:val="false"/>
          <w:color w:val="23272E"/>
          <w:sz w:val="21"/>
          <w:szCs w:val="21"/>
        </w:rPr>
        <w:t xml:space="preserve"> The $20M structure with exclusivity over the 55% and JJ&amp;N. No capital commits until the gates clear.</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LC behind the senior facility.</w:t>
      </w:r>
      <w:r>
        <w:rPr>
          <w:rFonts w:ascii="Georgia" w:cs="Georgia" w:eastAsia="Georgia" w:hAnsi="Georgia"/>
          <w:i w:val="false"/>
          <w:iCs w:val="false"/>
          <w:color w:val="23272E"/>
          <w:sz w:val="21"/>
          <w:szCs w:val="21"/>
        </w:rPr>
        <w:t xml:space="preserve"> Drawn only at a cross conditioned closing that delivers control and the marks together. It never funds a partial state and never funds a maybe.</w:t>
      </w:r>
    </w:p>
    <w:p>
      <w:pPr>
        <w:spacing w:after="180" w:line="320"/>
      </w:pPr>
      <w:r>
        <w:rPr>
          <w:rFonts w:ascii="Georgia" w:cs="Georgia" w:eastAsia="Georgia" w:hAnsi="Georgia"/>
          <w:b/>
          <w:bCs/>
          <w:i w:val="false"/>
          <w:iCs w:val="false"/>
          <w:color w:val="23272E"/>
          <w:sz w:val="21"/>
          <w:szCs w:val="21"/>
        </w:rPr>
        <w:t xml:space="preserve">What we lose if we are wrong, at each stage.</w:t>
      </w:r>
      <w:r>
        <w:rPr>
          <w:rFonts w:ascii="Georgia" w:cs="Georgia" w:eastAsia="Georgia" w:hAnsi="Georgia"/>
          <w:i w:val="false"/>
          <w:iCs w:val="false"/>
          <w:color w:val="23272E"/>
          <w:sz w:val="21"/>
          <w:szCs w:val="21"/>
        </w:rPr>
        <w:t xml:space="preserve"> At any gate: the budget spent to that point, $150K to $700K depending on when it dies. After closing: $5M to $8M of equity in a platform bought at 7.7x audited earnings all in, about 4.5x on the firm portion, with the earnout never paying for growth that did not happen. The numbers to model are above and in Exhibit B; the return case is Gart's to build.</w:t>
      </w:r>
    </w:p>
    <w:p>
      <w:pPr>
        <w:pStyle w:val="Heading1"/>
        <w:pBdr>
          <w:bottom w:val="single" w:color="CCC8BE" w:sz="6" w:space="6"/>
        </w:pBdr>
        <w:spacing w:after="180" w:before="400"/>
      </w:pPr>
      <w:r>
        <w:rPr>
          <w:rFonts w:ascii="Arial" w:cs="Arial" w:eastAsia="Arial" w:hAnsi="Arial"/>
          <w:b/>
          <w:bCs/>
          <w:i w:val="false"/>
          <w:iCs w:val="false"/>
          <w:color w:val="23272E"/>
          <w:sz w:val="24"/>
          <w:szCs w:val="24"/>
        </w:rPr>
        <w:t xml:space="preserve">Who sees what</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Gart:</w:t>
      </w:r>
      <w:r>
        <w:rPr>
          <w:rFonts w:ascii="Georgia" w:cs="Georgia" w:eastAsia="Georgia" w:hAnsi="Georgia"/>
          <w:i w:val="false"/>
          <w:iCs w:val="false"/>
          <w:color w:val="23272E"/>
          <w:sz w:val="21"/>
          <w:szCs w:val="21"/>
        </w:rPr>
        <w:t xml:space="preserve"> everything. This brief, the flowchart, the FDD and audits, the economic grid, the operator terms, and every diligence finding as it lands.</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The lender:</w:t>
      </w:r>
      <w:r>
        <w:rPr>
          <w:rFonts w:ascii="Georgia" w:cs="Georgia" w:eastAsia="Georgia" w:hAnsi="Georgia"/>
          <w:i w:val="false"/>
          <w:iCs w:val="false"/>
          <w:color w:val="23272E"/>
          <w:sz w:val="21"/>
          <w:szCs w:val="21"/>
        </w:rPr>
        <w:t xml:space="preserve"> the FDD, the audited financials, the store schedule from the FA pull, and the closing structure. No strategy sections, no grid internals.</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Tom's side:</w:t>
      </w:r>
      <w:r>
        <w:rPr>
          <w:rFonts w:ascii="Georgia" w:cs="Georgia" w:eastAsia="Georgia" w:hAnsi="Georgia"/>
          <w:i w:val="false"/>
          <w:iCs w:val="false"/>
          <w:color w:val="23272E"/>
          <w:sz w:val="21"/>
          <w:szCs w:val="21"/>
        </w:rPr>
        <w:t xml:space="preserve"> the letter, the economic grid, the document request list, and the exclusivity and option paper. Never this brief.</w:t>
      </w:r>
    </w:p>
    <w:p>
      <w:pPr>
        <w:pStyle w:val="ListParagraph"/>
        <w:numPr>
          <w:ilvl w:val="0"/>
          <w:numId w:val="1"/>
        </w:numPr>
        <w:spacing w:after="120" w:line="300"/>
      </w:pPr>
      <w:r>
        <w:rPr>
          <w:rFonts w:ascii="Georgia" w:cs="Georgia" w:eastAsia="Georgia" w:hAnsi="Georgia"/>
          <w:b/>
          <w:bCs/>
          <w:i w:val="false"/>
          <w:iCs w:val="false"/>
          <w:color w:val="23272E"/>
          <w:sz w:val="21"/>
          <w:szCs w:val="21"/>
        </w:rPr>
        <w:t xml:space="preserve">Bret and Mike:</w:t>
      </w:r>
      <w:r>
        <w:rPr>
          <w:rFonts w:ascii="Georgia" w:cs="Georgia" w:eastAsia="Georgia" w:hAnsi="Georgia"/>
          <w:i w:val="false"/>
          <w:iCs w:val="false"/>
          <w:color w:val="23272E"/>
          <w:sz w:val="21"/>
          <w:szCs w:val="21"/>
        </w:rPr>
        <w:t xml:space="preserve"> their offer, the grid line that prices it, and the NDA. Nothing else.</w:t>
      </w:r>
    </w:p>
    <w:p>
      <w:pPr>
        <w:spacing w:after="240" w:before="120" w:line="300"/>
      </w:pPr>
      <w:r>
        <w:rPr>
          <w:rFonts w:ascii="Georgia" w:cs="Georgia" w:eastAsia="Georgia" w:hAnsi="Georgia"/>
          <w:i w:val="false"/>
          <w:iCs w:val="false"/>
          <w:color w:val="5A564E"/>
          <w:sz w:val="19"/>
          <w:szCs w:val="19"/>
        </w:rPr>
        <w:t xml:space="preserve">Sources: BBRG, LLC Franchise Disclosure Document, cover dated February 10, 2026, footers dated 02/16/26, including the form Franchise Agreement (Exhibit A-1) and audited financials for FY2023 through FY2025 (Exhibit B), plus the company's internal Q1 2026 quarterly sales report; the operative state effective date gets confirmed against Exhibit G. Three open items. First, the audit's Note 1 counts 27 franchised outlets at year end 2025 and 3 openings, while Item 20 counts 26 and 2; the FY24 audit runs one ahead of Item 20 the same way, so the gap looks definitional, likely signed versus open, and it gets reconciled in the document pull. Second, the Exhibit C outlet list and the Q1 sales report reconcile the disclosed rates: royalties of $2.76M against roughly $54.5M of franchised sales is close to the 5% the form agreement charges, and $860,078 of Creative Fund contributions against $85M of all store sales is the disclosed 1%. The seven affiliate outlets carry the fund but not the royalty. Three reported figures in the Q1 file do not tie to the outlet list, a Ladera store showing two years of sales that the FDD lists as signed and unopened, a Covina store in the FDD and absent from the report, and two stores the report excludes that the FDD never lists; all three get reconciled in the store schedule. Third, other income is real money but not royalty money: a $308K vendor rebate in FY25 (about 12% of pretax income; $296K the year before, when a $41.8K legal settlement also landed). We price the deal off royalties and exclude it from the multiple until it is explained. California notes: under the Franchise Relations Act, declining a renewal takes 180 days notice and can trigger an asset buyback duty, so the step up plan relies on the renewal calendar rather than nonrenewal threats. And after any closing, new franchise sales pause until the amended FDD (new ownership, new owner financials) is registered, with California's registration timeline setting the length of that pause.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3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2026-07-27T16:13:38.906Z</dcterms:created>
  <dcterms:modified xsi:type="dcterms:W3CDTF">2026-07-27T16:13:38.907Z</dcterms:modified>
</cp:coreProperties>
</file>

<file path=docProps/custom.xml><?xml version="1.0" encoding="utf-8"?>
<Properties xmlns="http://schemas.openxmlformats.org/officeDocument/2006/custom-properties" xmlns:vt="http://schemas.openxmlformats.org/officeDocument/2006/docPropsVTypes"/>
</file>