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3240000" cy="1309315"/>
            <wp:docPr id="1" name="Picture 1"/>
            <wp:cNvGraphicFramePr>
              <a:graphicFrameLocks noChangeAspect="1"/>
            </wp:cNvGraphicFramePr>
            <a:graphic>
              <a:graphicData uri="http://schemas.openxmlformats.org/drawingml/2006/picture">
                <pic:pic>
                  <pic:nvPicPr>
                    <pic:cNvPr id="0" name="cortonis-pharma-logo.png"/>
                    <pic:cNvPicPr/>
                  </pic:nvPicPr>
                  <pic:blipFill>
                    <a:blip r:embed="rId11"/>
                    <a:stretch>
                      <a:fillRect/>
                    </a:stretch>
                  </pic:blipFill>
                  <pic:spPr>
                    <a:xfrm>
                      <a:off x="0" y="0"/>
                      <a:ext cx="3240000" cy="1309315"/>
                    </a:xfrm>
                    <a:prstGeom prst="rect"/>
                  </pic:spPr>
                </pic:pic>
              </a:graphicData>
            </a:graphic>
          </wp:inline>
        </w:drawing>
      </w:r>
    </w:p>
    <w:p>
      <w:r/>
    </w:p>
    <w:p>
      <w:pPr>
        <w:jc w:val="left"/>
      </w:pPr>
      <w:r>
        <w:rPr>
          <w:b w:val="0"/>
          <w:color w:val="6B7280"/>
          <w:sz w:val="26"/>
        </w:rPr>
        <w:t>Standard Operating Procedure</w:t>
      </w:r>
    </w:p>
    <w:p>
      <w:r>
        <w:rPr>
          <w:b/>
          <w:color w:val="181818"/>
          <w:sz w:val="40"/>
        </w:rPr>
        <w:t>Deviation Management and Corrective and Preventive Action (CAPA) Process</w:t>
      </w:r>
    </w:p>
    <w:p/>
    <w:tbl>
      <w:tblPr>
        <w:tblStyle w:val="TableGrid"/>
        <w:tblW w:type="auto" w:w="0"/>
        <w:jc w:val="center"/>
        <w:tblLayout w:type="fixed"/>
        <w:tblLook w:firstColumn="1" w:firstRow="1" w:lastColumn="0" w:lastRow="0" w:noHBand="0" w:noVBand="1" w:val="04A0"/>
      </w:tblPr>
      <w:tblGrid>
        <w:gridCol w:w="2880"/>
        <w:gridCol w:w="6192"/>
      </w:tblGrid>
      <w:tr>
        <w:tc>
          <w:tcPr>
            <w:tcW w:type="dxa" w:w="2880"/>
            <w:shd w:val="clear" w:color="auto" w:fill="0B5D3B"/>
            <w:vAlign w:val="center"/>
          </w:tcPr>
          <w:p>
            <w:r>
              <w:rPr>
                <w:b/>
                <w:color w:val="FFFFFF"/>
                <w:sz w:val="20"/>
              </w:rPr>
              <w:t>Field</w:t>
            </w:r>
          </w:p>
        </w:tc>
        <w:tc>
          <w:tcPr>
            <w:tcW w:type="dxa" w:w="6192"/>
            <w:shd w:val="clear" w:color="auto" w:fill="0B5D3B"/>
            <w:vAlign w:val="center"/>
          </w:tcPr>
          <w:p>
            <w:r>
              <w:rPr>
                <w:b/>
                <w:color w:val="FFFFFF"/>
                <w:sz w:val="20"/>
              </w:rPr>
              <w:t>Value</w:t>
            </w:r>
          </w:p>
        </w:tc>
      </w:tr>
      <w:tr>
        <w:tc>
          <w:tcPr>
            <w:tcW w:type="dxa" w:w="2880"/>
            <w:vAlign w:val="center"/>
          </w:tcPr>
          <w:p>
            <w:pPr>
              <w:pStyle w:val="TableText"/>
            </w:pPr>
            <w:r>
              <w:t>Document Number</w:t>
            </w:r>
          </w:p>
        </w:tc>
        <w:tc>
          <w:tcPr>
            <w:tcW w:type="dxa" w:w="6192"/>
            <w:vAlign w:val="center"/>
          </w:tcPr>
          <w:p>
            <w:pPr>
              <w:pStyle w:val="TableText"/>
            </w:pPr>
            <w:r>
              <w:t>SOP-QA-012</w:t>
            </w:r>
          </w:p>
        </w:tc>
      </w:tr>
      <w:tr>
        <w:tc>
          <w:tcPr>
            <w:tcW w:type="dxa" w:w="2880"/>
            <w:vAlign w:val="center"/>
          </w:tcPr>
          <w:p>
            <w:pPr>
              <w:pStyle w:val="TableText"/>
            </w:pPr>
            <w:r>
              <w:t>Version</w:t>
            </w:r>
          </w:p>
        </w:tc>
        <w:tc>
          <w:tcPr>
            <w:tcW w:type="dxa" w:w="6192"/>
            <w:vAlign w:val="center"/>
          </w:tcPr>
          <w:p>
            <w:pPr>
              <w:pStyle w:val="TableText"/>
            </w:pPr>
            <w:r>
              <w:t>3.0</w:t>
            </w:r>
          </w:p>
        </w:tc>
      </w:tr>
      <w:tr>
        <w:tc>
          <w:tcPr>
            <w:tcW w:type="dxa" w:w="2880"/>
            <w:vAlign w:val="center"/>
          </w:tcPr>
          <w:p>
            <w:pPr>
              <w:pStyle w:val="TableText"/>
            </w:pPr>
            <w:r>
              <w:t>Status</w:t>
            </w:r>
          </w:p>
        </w:tc>
        <w:tc>
          <w:tcPr>
            <w:tcW w:type="dxa" w:w="6192"/>
            <w:vAlign w:val="center"/>
          </w:tcPr>
          <w:p>
            <w:pPr>
              <w:pStyle w:val="TableText"/>
            </w:pPr>
            <w:r>
              <w:t>Effective</w:t>
            </w:r>
          </w:p>
        </w:tc>
      </w:tr>
      <w:tr>
        <w:tc>
          <w:tcPr>
            <w:tcW w:type="dxa" w:w="2880"/>
            <w:vAlign w:val="center"/>
          </w:tcPr>
          <w:p>
            <w:pPr>
              <w:pStyle w:val="TableText"/>
            </w:pPr>
            <w:r>
              <w:t>Effective Date</w:t>
            </w:r>
          </w:p>
        </w:tc>
        <w:tc>
          <w:tcPr>
            <w:tcW w:type="dxa" w:w="6192"/>
            <w:vAlign w:val="center"/>
          </w:tcPr>
          <w:p>
            <w:pPr>
              <w:pStyle w:val="TableText"/>
            </w:pPr>
            <w:r>
              <w:t>15-Jan-2025</w:t>
            </w:r>
          </w:p>
        </w:tc>
      </w:tr>
      <w:tr>
        <w:tc>
          <w:tcPr>
            <w:tcW w:type="dxa" w:w="2880"/>
            <w:vAlign w:val="center"/>
          </w:tcPr>
          <w:p>
            <w:pPr>
              <w:pStyle w:val="TableText"/>
            </w:pPr>
            <w:r>
              <w:t>Next Scheduled Review</w:t>
            </w:r>
          </w:p>
        </w:tc>
        <w:tc>
          <w:tcPr>
            <w:tcW w:type="dxa" w:w="6192"/>
            <w:vAlign w:val="center"/>
          </w:tcPr>
          <w:p>
            <w:pPr>
              <w:pStyle w:val="TableText"/>
            </w:pPr>
            <w:r>
              <w:t>15-Jan-2027</w:t>
            </w:r>
          </w:p>
        </w:tc>
      </w:tr>
      <w:tr>
        <w:tc>
          <w:tcPr>
            <w:tcW w:type="dxa" w:w="2880"/>
            <w:vAlign w:val="center"/>
          </w:tcPr>
          <w:p>
            <w:pPr>
              <w:pStyle w:val="TableText"/>
            </w:pPr>
            <w:r>
              <w:t>Supersedes</w:t>
            </w:r>
          </w:p>
        </w:tc>
        <w:tc>
          <w:tcPr>
            <w:tcW w:type="dxa" w:w="6192"/>
            <w:vAlign w:val="center"/>
          </w:tcPr>
          <w:p>
            <w:pPr>
              <w:pStyle w:val="TableText"/>
            </w:pPr>
            <w:r>
              <w:t>SOP-QA-012, Version 2.0 (01-Jun-2022)</w:t>
            </w:r>
          </w:p>
        </w:tc>
      </w:tr>
      <w:tr>
        <w:tc>
          <w:tcPr>
            <w:tcW w:type="dxa" w:w="2880"/>
            <w:vAlign w:val="center"/>
          </w:tcPr>
          <w:p>
            <w:pPr>
              <w:pStyle w:val="TableText"/>
            </w:pPr>
            <w:r>
              <w:t>Document Owner</w:t>
            </w:r>
          </w:p>
        </w:tc>
        <w:tc>
          <w:tcPr>
            <w:tcW w:type="dxa" w:w="6192"/>
            <w:vAlign w:val="center"/>
          </w:tcPr>
          <w:p>
            <w:pPr>
              <w:pStyle w:val="TableText"/>
            </w:pPr>
            <w:r>
              <w:t>Head of Global Quality Assurance, Cortonis Pharma</w:t>
            </w:r>
          </w:p>
        </w:tc>
      </w:tr>
      <w:tr>
        <w:tc>
          <w:tcPr>
            <w:tcW w:type="dxa" w:w="2880"/>
            <w:vAlign w:val="center"/>
          </w:tcPr>
          <w:p>
            <w:pPr>
              <w:pStyle w:val="TableText"/>
            </w:pPr>
            <w:r>
              <w:t>Applicable Sites</w:t>
            </w:r>
          </w:p>
        </w:tc>
        <w:tc>
          <w:tcPr>
            <w:tcW w:type="dxa" w:w="6192"/>
            <w:vAlign w:val="center"/>
          </w:tcPr>
          <w:p>
            <w:pPr>
              <w:pStyle w:val="TableText"/>
            </w:pPr>
            <w:r>
              <w:t>Lyon (FR) · Frankfurt (DE) · Milan (IT) · Barcelona (ES) · Dublin (IE)</w:t>
            </w:r>
          </w:p>
        </w:tc>
      </w:tr>
      <w:tr>
        <w:tc>
          <w:tcPr>
            <w:tcW w:type="dxa" w:w="2880"/>
            <w:vAlign w:val="center"/>
          </w:tcPr>
          <w:p>
            <w:pPr>
              <w:pStyle w:val="TableText"/>
            </w:pPr>
            <w:r>
              <w:t>Classification</w:t>
            </w:r>
          </w:p>
        </w:tc>
        <w:tc>
          <w:tcPr>
            <w:tcW w:type="dxa" w:w="6192"/>
            <w:vAlign w:val="center"/>
          </w:tcPr>
          <w:p>
            <w:pPr>
              <w:pStyle w:val="TableText"/>
            </w:pPr>
            <w:r>
              <w:t>GxP Controlled Document – Internal Use Only</w:t>
            </w:r>
          </w:p>
        </w:tc>
      </w:tr>
    </w:tbl>
    <w:p/>
    <w:p>
      <w:r>
        <w:rPr>
          <w:b w:val="0"/>
          <w:i/>
          <w:color w:val="6B7280"/>
          <w:sz w:val="18"/>
        </w:rPr>
        <w:t>This is a fictional document produced for a data analytics portfolio project. Cortonis Pharma is not a real company; this SOP does not represent the practices of any real organization and must not be used as regulatory or quality guidance.</w:t>
      </w:r>
    </w:p>
    <w:p>
      <w:r>
        <w:br w:type="page"/>
      </w:r>
    </w:p>
    <w:p>
      <w:pPr>
        <w:pStyle w:val="Heading1"/>
      </w:pPr>
      <w:r>
        <w:rPr>
          <w:color w:val="0B5D3B"/>
        </w:rPr>
        <w:t>Revision History</w:t>
      </w:r>
    </w:p>
    <w:tbl>
      <w:tblPr>
        <w:tblStyle w:val="TableGrid"/>
        <w:tblW w:type="auto" w:w="0"/>
        <w:jc w:val="center"/>
        <w:tblLayout w:type="fixed"/>
        <w:tblLook w:firstColumn="1" w:firstRow="1" w:lastColumn="0" w:lastRow="0" w:noHBand="0" w:noVBand="1" w:val="04A0"/>
      </w:tblPr>
      <w:tblGrid>
        <w:gridCol w:w="1008"/>
        <w:gridCol w:w="1584"/>
        <w:gridCol w:w="5616"/>
        <w:gridCol w:w="2304"/>
      </w:tblGrid>
      <w:tr>
        <w:tc>
          <w:tcPr>
            <w:tcW w:type="dxa" w:w="1008"/>
            <w:shd w:val="clear" w:color="auto" w:fill="0B5D3B"/>
            <w:vAlign w:val="center"/>
          </w:tcPr>
          <w:p>
            <w:r>
              <w:rPr>
                <w:b/>
                <w:color w:val="FFFFFF"/>
                <w:sz w:val="20"/>
              </w:rPr>
              <w:t>Version</w:t>
            </w:r>
          </w:p>
        </w:tc>
        <w:tc>
          <w:tcPr>
            <w:tcW w:type="dxa" w:w="1584"/>
            <w:shd w:val="clear" w:color="auto" w:fill="0B5D3B"/>
            <w:vAlign w:val="center"/>
          </w:tcPr>
          <w:p>
            <w:r>
              <w:rPr>
                <w:b/>
                <w:color w:val="FFFFFF"/>
                <w:sz w:val="20"/>
              </w:rPr>
              <w:t>Date</w:t>
            </w:r>
          </w:p>
        </w:tc>
        <w:tc>
          <w:tcPr>
            <w:tcW w:type="dxa" w:w="5616"/>
            <w:shd w:val="clear" w:color="auto" w:fill="0B5D3B"/>
            <w:vAlign w:val="center"/>
          </w:tcPr>
          <w:p>
            <w:r>
              <w:rPr>
                <w:b/>
                <w:color w:val="FFFFFF"/>
                <w:sz w:val="20"/>
              </w:rPr>
              <w:t>Description of Change</w:t>
            </w:r>
          </w:p>
        </w:tc>
        <w:tc>
          <w:tcPr>
            <w:tcW w:type="dxa" w:w="2304"/>
            <w:shd w:val="clear" w:color="auto" w:fill="0B5D3B"/>
            <w:vAlign w:val="center"/>
          </w:tcPr>
          <w:p>
            <w:r>
              <w:rPr>
                <w:b/>
                <w:color w:val="FFFFFF"/>
                <w:sz w:val="20"/>
              </w:rPr>
              <w:t>Author</w:t>
            </w:r>
          </w:p>
        </w:tc>
      </w:tr>
      <w:tr>
        <w:tc>
          <w:tcPr>
            <w:tcW w:type="dxa" w:w="1008"/>
            <w:vAlign w:val="center"/>
          </w:tcPr>
          <w:p>
            <w:pPr>
              <w:pStyle w:val="TableText"/>
            </w:pPr>
            <w:r>
              <w:t>1.0</w:t>
            </w:r>
          </w:p>
        </w:tc>
        <w:tc>
          <w:tcPr>
            <w:tcW w:type="dxa" w:w="1584"/>
            <w:vAlign w:val="center"/>
          </w:tcPr>
          <w:p>
            <w:pPr>
              <w:pStyle w:val="TableText"/>
            </w:pPr>
            <w:r>
              <w:t>01-Mar-2019</w:t>
            </w:r>
          </w:p>
        </w:tc>
        <w:tc>
          <w:tcPr>
            <w:tcW w:type="dxa" w:w="5616"/>
            <w:vAlign w:val="center"/>
          </w:tcPr>
          <w:p>
            <w:pPr>
              <w:pStyle w:val="TableText"/>
            </w:pPr>
            <w:r>
              <w:t>Initial issue.</w:t>
            </w:r>
          </w:p>
        </w:tc>
        <w:tc>
          <w:tcPr>
            <w:tcW w:type="dxa" w:w="2304"/>
            <w:vAlign w:val="center"/>
          </w:tcPr>
          <w:p>
            <w:pPr>
              <w:pStyle w:val="TableText"/>
            </w:pPr>
            <w:r>
              <w:t>QA Document Control</w:t>
            </w:r>
          </w:p>
        </w:tc>
      </w:tr>
      <w:tr>
        <w:tc>
          <w:tcPr>
            <w:tcW w:type="dxa" w:w="1008"/>
            <w:vAlign w:val="center"/>
          </w:tcPr>
          <w:p>
            <w:pPr>
              <w:pStyle w:val="TableText"/>
            </w:pPr>
            <w:r>
              <w:t>2.0</w:t>
            </w:r>
          </w:p>
        </w:tc>
        <w:tc>
          <w:tcPr>
            <w:tcW w:type="dxa" w:w="1584"/>
            <w:vAlign w:val="center"/>
          </w:tcPr>
          <w:p>
            <w:pPr>
              <w:pStyle w:val="TableText"/>
            </w:pPr>
            <w:r>
              <w:t>01-Jun-2022</w:t>
            </w:r>
          </w:p>
        </w:tc>
        <w:tc>
          <w:tcPr>
            <w:tcW w:type="dxa" w:w="5616"/>
            <w:vAlign w:val="center"/>
          </w:tcPr>
          <w:p>
            <w:pPr>
              <w:pStyle w:val="TableText"/>
            </w:pPr>
            <w:r>
              <w:t>Revised to align terminology with ICH Q10 lifecycle stages; added a formal Effectiveness Check stage prior to closure.</w:t>
            </w:r>
          </w:p>
        </w:tc>
        <w:tc>
          <w:tcPr>
            <w:tcW w:type="dxa" w:w="2304"/>
            <w:vAlign w:val="center"/>
          </w:tcPr>
          <w:p>
            <w:pPr>
              <w:pStyle w:val="TableText"/>
            </w:pPr>
            <w:r>
              <w:t>Site Quality Manager, Lyon</w:t>
            </w:r>
          </w:p>
        </w:tc>
      </w:tr>
      <w:tr>
        <w:tc>
          <w:tcPr>
            <w:tcW w:type="dxa" w:w="1008"/>
            <w:vAlign w:val="center"/>
          </w:tcPr>
          <w:p>
            <w:pPr>
              <w:pStyle w:val="TableText"/>
            </w:pPr>
            <w:r>
              <w:t>3.0</w:t>
            </w:r>
          </w:p>
        </w:tc>
        <w:tc>
          <w:tcPr>
            <w:tcW w:type="dxa" w:w="1584"/>
            <w:vAlign w:val="center"/>
          </w:tcPr>
          <w:p>
            <w:pPr>
              <w:pStyle w:val="TableText"/>
            </w:pPr>
            <w:r>
              <w:t>15-Jan-2025</w:t>
            </w:r>
          </w:p>
        </w:tc>
        <w:tc>
          <w:tcPr>
            <w:tcW w:type="dxa" w:w="5616"/>
            <w:vAlign w:val="center"/>
          </w:tcPr>
          <w:p>
            <w:pPr>
              <w:pStyle w:val="TableText"/>
            </w:pPr>
            <w:r>
              <w:t>Harmonized the process across all manufacturing sites; introduced the enterprise case reference scheme (DEV-YYYY-NNNNN); clarified severity-based investigation and closure timelines; added Section 9 governing escalation, rework and reopening.</w:t>
            </w:r>
          </w:p>
        </w:tc>
        <w:tc>
          <w:tcPr>
            <w:tcW w:type="dxa" w:w="2304"/>
            <w:vAlign w:val="center"/>
          </w:tcPr>
          <w:p>
            <w:pPr>
              <w:pStyle w:val="TableText"/>
            </w:pPr>
            <w:r>
              <w:t>Head of Global Quality Assurance</w:t>
            </w:r>
          </w:p>
        </w:tc>
      </w:tr>
    </w:tbl>
    <w:p/>
    <w:p>
      <w:pPr>
        <w:pStyle w:val="Heading2"/>
      </w:pPr>
      <w:r>
        <w:rPr>
          <w:color w:val="0B5D3B"/>
        </w:rPr>
        <w:t>Approval</w:t>
      </w:r>
    </w:p>
    <w:tbl>
      <w:tblPr>
        <w:tblStyle w:val="TableGrid"/>
        <w:tblW w:type="auto" w:w="0"/>
        <w:jc w:val="center"/>
        <w:tblLayout w:type="fixed"/>
        <w:tblLook w:firstColumn="1" w:firstRow="1" w:lastColumn="0" w:lastRow="0" w:noHBand="0" w:noVBand="1" w:val="04A0"/>
      </w:tblPr>
      <w:tblGrid>
        <w:gridCol w:w="1584"/>
        <w:gridCol w:w="2016"/>
        <w:gridCol w:w="3888"/>
        <w:gridCol w:w="1584"/>
      </w:tblGrid>
      <w:tr>
        <w:tc>
          <w:tcPr>
            <w:tcW w:type="dxa" w:w="1584"/>
            <w:shd w:val="clear" w:color="auto" w:fill="0B5D3B"/>
            <w:vAlign w:val="center"/>
          </w:tcPr>
          <w:p>
            <w:r>
              <w:rPr>
                <w:b/>
                <w:color w:val="FFFFFF"/>
                <w:sz w:val="20"/>
              </w:rPr>
              <w:t>Role</w:t>
            </w:r>
          </w:p>
        </w:tc>
        <w:tc>
          <w:tcPr>
            <w:tcW w:type="dxa" w:w="2016"/>
            <w:shd w:val="clear" w:color="auto" w:fill="0B5D3B"/>
            <w:vAlign w:val="center"/>
          </w:tcPr>
          <w:p>
            <w:r>
              <w:rPr>
                <w:b/>
                <w:color w:val="FFFFFF"/>
                <w:sz w:val="20"/>
              </w:rPr>
              <w:t>Responsibility</w:t>
            </w:r>
          </w:p>
        </w:tc>
        <w:tc>
          <w:tcPr>
            <w:tcW w:type="dxa" w:w="3888"/>
            <w:shd w:val="clear" w:color="auto" w:fill="0B5D3B"/>
            <w:vAlign w:val="center"/>
          </w:tcPr>
          <w:p>
            <w:r>
              <w:rPr>
                <w:b/>
                <w:color w:val="FFFFFF"/>
                <w:sz w:val="20"/>
              </w:rPr>
              <w:t>Name / Title</w:t>
            </w:r>
          </w:p>
        </w:tc>
        <w:tc>
          <w:tcPr>
            <w:tcW w:type="dxa" w:w="1584"/>
            <w:shd w:val="clear" w:color="auto" w:fill="0B5D3B"/>
            <w:vAlign w:val="center"/>
          </w:tcPr>
          <w:p>
            <w:r>
              <w:rPr>
                <w:b/>
                <w:color w:val="FFFFFF"/>
                <w:sz w:val="20"/>
              </w:rPr>
              <w:t>Date</w:t>
            </w:r>
          </w:p>
        </w:tc>
      </w:tr>
      <w:tr>
        <w:tc>
          <w:tcPr>
            <w:tcW w:type="dxa" w:w="1584"/>
            <w:vAlign w:val="center"/>
          </w:tcPr>
          <w:p>
            <w:pPr>
              <w:pStyle w:val="TableText"/>
            </w:pPr>
            <w:r>
              <w:t>Prepared by</w:t>
            </w:r>
          </w:p>
        </w:tc>
        <w:tc>
          <w:tcPr>
            <w:tcW w:type="dxa" w:w="2016"/>
            <w:vAlign w:val="center"/>
          </w:tcPr>
          <w:p>
            <w:pPr>
              <w:pStyle w:val="TableText"/>
            </w:pPr>
            <w:r>
              <w:t>Process Owner</w:t>
            </w:r>
          </w:p>
        </w:tc>
        <w:tc>
          <w:tcPr>
            <w:tcW w:type="dxa" w:w="3888"/>
            <w:vAlign w:val="center"/>
          </w:tcPr>
          <w:p>
            <w:pPr>
              <w:pStyle w:val="TableText"/>
            </w:pPr>
            <w:r>
              <w:t>Site Quality Manager, Lyon</w:t>
            </w:r>
          </w:p>
        </w:tc>
        <w:tc>
          <w:tcPr>
            <w:tcW w:type="dxa" w:w="1584"/>
            <w:vAlign w:val="center"/>
          </w:tcPr>
          <w:p>
            <w:pPr>
              <w:pStyle w:val="TableText"/>
            </w:pPr>
            <w:r>
              <w:t>15-Jan-2025</w:t>
            </w:r>
          </w:p>
        </w:tc>
      </w:tr>
      <w:tr>
        <w:tc>
          <w:tcPr>
            <w:tcW w:type="dxa" w:w="1584"/>
            <w:vAlign w:val="center"/>
          </w:tcPr>
          <w:p>
            <w:pPr>
              <w:pStyle w:val="TableText"/>
            </w:pPr>
            <w:r>
              <w:t>Reviewed by</w:t>
            </w:r>
          </w:p>
        </w:tc>
        <w:tc>
          <w:tcPr>
            <w:tcW w:type="dxa" w:w="2016"/>
            <w:vAlign w:val="center"/>
          </w:tcPr>
          <w:p>
            <w:pPr>
              <w:pStyle w:val="TableText"/>
            </w:pPr>
            <w:r>
              <w:t>Cross-site Review</w:t>
            </w:r>
          </w:p>
        </w:tc>
        <w:tc>
          <w:tcPr>
            <w:tcW w:type="dxa" w:w="3888"/>
            <w:vAlign w:val="center"/>
          </w:tcPr>
          <w:p>
            <w:pPr>
              <w:pStyle w:val="TableText"/>
            </w:pPr>
            <w:r>
              <w:t>Head of Manufacturing Quality</w:t>
            </w:r>
          </w:p>
        </w:tc>
        <w:tc>
          <w:tcPr>
            <w:tcW w:type="dxa" w:w="1584"/>
            <w:vAlign w:val="center"/>
          </w:tcPr>
          <w:p>
            <w:pPr>
              <w:pStyle w:val="TableText"/>
            </w:pPr>
            <w:r>
              <w:t>15-Jan-2025</w:t>
            </w:r>
          </w:p>
        </w:tc>
      </w:tr>
      <w:tr>
        <w:tc>
          <w:tcPr>
            <w:tcW w:type="dxa" w:w="1584"/>
            <w:vAlign w:val="center"/>
          </w:tcPr>
          <w:p>
            <w:pPr>
              <w:pStyle w:val="TableText"/>
            </w:pPr>
            <w:r>
              <w:t>Approved by</w:t>
            </w:r>
          </w:p>
        </w:tc>
        <w:tc>
          <w:tcPr>
            <w:tcW w:type="dxa" w:w="2016"/>
            <w:vAlign w:val="center"/>
          </w:tcPr>
          <w:p>
            <w:pPr>
              <w:pStyle w:val="TableText"/>
            </w:pPr>
            <w:r>
              <w:t>Final Approval</w:t>
            </w:r>
          </w:p>
        </w:tc>
        <w:tc>
          <w:tcPr>
            <w:tcW w:type="dxa" w:w="3888"/>
            <w:vAlign w:val="center"/>
          </w:tcPr>
          <w:p>
            <w:pPr>
              <w:pStyle w:val="TableText"/>
            </w:pPr>
            <w:r>
              <w:t>VP Quality Assurance / Qualified Person</w:t>
            </w:r>
          </w:p>
        </w:tc>
        <w:tc>
          <w:tcPr>
            <w:tcW w:type="dxa" w:w="1584"/>
            <w:vAlign w:val="center"/>
          </w:tcPr>
          <w:p>
            <w:pPr>
              <w:pStyle w:val="TableText"/>
            </w:pPr>
            <w:r>
              <w:t>15-Jan-2025</w:t>
            </w:r>
          </w:p>
        </w:tc>
      </w:tr>
    </w:tbl>
    <w:p>
      <w:r>
        <w:br w:type="page"/>
      </w:r>
    </w:p>
    <w:p>
      <w:pPr>
        <w:pStyle w:val="Heading1"/>
      </w:pPr>
      <w:r>
        <w:rPr>
          <w:color w:val="0B5D3B"/>
        </w:rPr>
        <w:t>1. Purpose</w:t>
      </w:r>
    </w:p>
    <w:p>
      <w:r>
        <w:rPr>
          <w:b w:val="0"/>
          <w:i w:val="0"/>
          <w:sz w:val="21"/>
        </w:rPr>
        <w:t>This Standard Operating Procedure (SOP) defines a single, harmonized process for identifying, documenting, investigating and resolving deviations from approved procedures, specifications or in-process controls, and for defining, implementing and verifying the effectiveness of associated Corrective and Preventive Actions (CAPA). It applies this process consistently across all Cortonis Pharma manufacturing and quality control sites, in accordance with ICH Q10 (Pharmaceutical Quality System), ICH Q9(R1) (Quality Risk Management) and applicable Good Manufacturing Practice (GMP) requirements.</w:t>
      </w:r>
    </w:p>
    <w:p>
      <w:pPr>
        <w:pStyle w:val="Heading1"/>
      </w:pPr>
      <w:r>
        <w:rPr>
          <w:color w:val="0B5D3B"/>
        </w:rPr>
        <w:t>2. Scope</w:t>
      </w:r>
    </w:p>
    <w:p>
      <w:r>
        <w:rPr>
          <w:b w:val="0"/>
          <w:i w:val="0"/>
          <w:sz w:val="21"/>
        </w:rPr>
        <w:t>This procedure applies to all deviations opened at any Cortonis Pharma site — Lyon (France), Frankfurt (Germany), Milan (Italy), Barcelona (Spain) and Dublin (Ireland) — regardless of deviation type (Production, Laboratory, Packaging, Distribution or Documentation) or severity (Minor, Major or Critical), from initial identification through Effectiveness Check and closure.</w:t>
      </w:r>
    </w:p>
    <w:p>
      <w:r>
        <w:rPr>
          <w:b w:val="0"/>
          <w:i w:val="0"/>
          <w:sz w:val="21"/>
        </w:rPr>
        <w:t>This procedure does not apply to:</w:t>
      </w:r>
    </w:p>
    <w:p>
      <w:pPr>
        <w:pStyle w:val="ListBullet"/>
      </w:pPr>
      <w:r>
        <w:rPr>
          <w:sz w:val="21"/>
        </w:rPr>
        <w:t>Product complaints received from the market, which are governed by SOP-QA-020 (Product Complaint Handling);</w:t>
      </w:r>
    </w:p>
    <w:p>
      <w:pPr>
        <w:pStyle w:val="ListBullet"/>
      </w:pPr>
      <w:r>
        <w:rPr>
          <w:sz w:val="21"/>
        </w:rPr>
        <w:t>Product recalls, which are governed by SOP-QA-030 (Product Recall Procedure);</w:t>
      </w:r>
    </w:p>
    <w:p>
      <w:pPr>
        <w:pStyle w:val="ListBullet"/>
      </w:pPr>
      <w:r>
        <w:rPr>
          <w:sz w:val="21"/>
        </w:rPr>
        <w:t>Change requests that do not originate from a deviation, which are governed by SOP-QA-005 (Change Control Management).</w:t>
      </w:r>
    </w:p>
    <w:p>
      <w:r>
        <w:rPr>
          <w:b w:val="0"/>
          <w:i w:val="0"/>
          <w:sz w:val="21"/>
        </w:rPr>
        <w:t>Where a complaint, recall or change is itself triggered by a deviation, the deviation record remains subject to this SOP.</w:t>
      </w:r>
    </w:p>
    <w:p>
      <w:pPr>
        <w:pStyle w:val="Heading1"/>
      </w:pPr>
      <w:r>
        <w:rPr>
          <w:color w:val="0B5D3B"/>
        </w:rPr>
        <w:t>3. Responsibilities</w:t>
      </w:r>
    </w:p>
    <w:tbl>
      <w:tblPr>
        <w:tblStyle w:val="TableGrid"/>
        <w:tblW w:type="auto" w:w="0"/>
        <w:jc w:val="center"/>
        <w:tblLayout w:type="fixed"/>
        <w:tblLook w:firstColumn="1" w:firstRow="1" w:lastColumn="0" w:lastRow="0" w:noHBand="0" w:noVBand="1" w:val="04A0"/>
      </w:tblPr>
      <w:tblGrid>
        <w:gridCol w:w="2592"/>
        <w:gridCol w:w="6768"/>
      </w:tblGrid>
      <w:tr>
        <w:tc>
          <w:tcPr>
            <w:tcW w:type="dxa" w:w="2592"/>
            <w:shd w:val="clear" w:color="auto" w:fill="0B5D3B"/>
            <w:vAlign w:val="center"/>
          </w:tcPr>
          <w:p>
            <w:r>
              <w:rPr>
                <w:b/>
                <w:color w:val="FFFFFF"/>
                <w:sz w:val="20"/>
              </w:rPr>
              <w:t>Role</w:t>
            </w:r>
          </w:p>
        </w:tc>
        <w:tc>
          <w:tcPr>
            <w:tcW w:type="dxa" w:w="6768"/>
            <w:shd w:val="clear" w:color="auto" w:fill="0B5D3B"/>
            <w:vAlign w:val="center"/>
          </w:tcPr>
          <w:p>
            <w:r>
              <w:rPr>
                <w:b/>
                <w:color w:val="FFFFFF"/>
                <w:sz w:val="20"/>
              </w:rPr>
              <w:t>Key Responsibilities under this SOP</w:t>
            </w:r>
          </w:p>
        </w:tc>
      </w:tr>
      <w:tr>
        <w:tc>
          <w:tcPr>
            <w:tcW w:type="dxa" w:w="2592"/>
            <w:vAlign w:val="center"/>
          </w:tcPr>
          <w:p>
            <w:pPr>
              <w:pStyle w:val="TableText"/>
            </w:pPr>
            <w:r>
              <w:t>Production Supervisor</w:t>
            </w:r>
          </w:p>
        </w:tc>
        <w:tc>
          <w:tcPr>
            <w:tcW w:type="dxa" w:w="6768"/>
            <w:vAlign w:val="center"/>
          </w:tcPr>
          <w:p>
            <w:pPr>
              <w:pStyle w:val="TableText"/>
            </w:pPr>
            <w:r>
              <w:t>Identifies and reports deviations from operational or laboratory activities; performs immediate containment; supports investigations with operational data and, where applicable, implements shop-floor corrective actions.</w:t>
            </w:r>
          </w:p>
        </w:tc>
      </w:tr>
      <w:tr>
        <w:tc>
          <w:tcPr>
            <w:tcW w:type="dxa" w:w="2592"/>
            <w:vAlign w:val="center"/>
          </w:tcPr>
          <w:p>
            <w:pPr>
              <w:pStyle w:val="TableText"/>
            </w:pPr>
            <w:r>
              <w:t>QA Investigator</w:t>
            </w:r>
          </w:p>
        </w:tc>
        <w:tc>
          <w:tcPr>
            <w:tcW w:type="dxa" w:w="6768"/>
            <w:vAlign w:val="center"/>
          </w:tcPr>
          <w:p>
            <w:pPr>
              <w:pStyle w:val="TableText"/>
            </w:pPr>
            <w:r>
              <w:t>Performs the Initial Assessment; leads the Root Cause Analysis; performs or coordinates the Effectiveness Check.</w:t>
            </w:r>
          </w:p>
        </w:tc>
      </w:tr>
      <w:tr>
        <w:tc>
          <w:tcPr>
            <w:tcW w:type="dxa" w:w="2592"/>
            <w:vAlign w:val="center"/>
          </w:tcPr>
          <w:p>
            <w:pPr>
              <w:pStyle w:val="TableText"/>
            </w:pPr>
            <w:r>
              <w:t>Site Quality Manager</w:t>
            </w:r>
          </w:p>
        </w:tc>
        <w:tc>
          <w:tcPr>
            <w:tcW w:type="dxa" w:w="6768"/>
            <w:vAlign w:val="center"/>
          </w:tcPr>
          <w:p>
            <w:pPr>
              <w:pStyle w:val="TableText"/>
            </w:pPr>
            <w:r>
              <w:t>Assigns investigations and sets timelines; approves CAPA plans for Minor deviations; approves Deviation Reopening requests; closes cases; owns compliance with this SOP at site level.</w:t>
            </w:r>
          </w:p>
        </w:tc>
      </w:tr>
      <w:tr>
        <w:tc>
          <w:tcPr>
            <w:tcW w:type="dxa" w:w="2592"/>
            <w:vAlign w:val="center"/>
          </w:tcPr>
          <w:p>
            <w:pPr>
              <w:pStyle w:val="TableText"/>
            </w:pPr>
            <w:r>
              <w:t>CAPA Owner</w:t>
            </w:r>
          </w:p>
        </w:tc>
        <w:tc>
          <w:tcPr>
            <w:tcW w:type="dxa" w:w="6768"/>
            <w:vAlign w:val="center"/>
          </w:tcPr>
          <w:p>
            <w:pPr>
              <w:pStyle w:val="TableText"/>
            </w:pPr>
            <w:r>
              <w:t>Defines the corrective and preventive action plan from the Root Cause Analysis findings; implements or coordinates implementation of approved actions; maintains the CAPA timeline.</w:t>
            </w:r>
          </w:p>
        </w:tc>
      </w:tr>
      <w:tr>
        <w:tc>
          <w:tcPr>
            <w:tcW w:type="dxa" w:w="2592"/>
            <w:vAlign w:val="center"/>
          </w:tcPr>
          <w:p>
            <w:pPr>
              <w:pStyle w:val="TableText"/>
            </w:pPr>
            <w:r>
              <w:t>Quality Council</w:t>
            </w:r>
          </w:p>
        </w:tc>
        <w:tc>
          <w:tcPr>
            <w:tcW w:type="dxa" w:w="6768"/>
            <w:vAlign w:val="center"/>
          </w:tcPr>
          <w:p>
            <w:pPr>
              <w:pStyle w:val="TableText"/>
            </w:pPr>
            <w:r>
              <w:t>Reviews and approves CAPA plans for Major and Critical deviations; governs the dedicated risk review for Critical-severity escalations per SOP-QA-014 (Quality Council Charter).</w:t>
            </w:r>
          </w:p>
        </w:tc>
      </w:tr>
      <w:tr>
        <w:tc>
          <w:tcPr>
            <w:tcW w:type="dxa" w:w="2592"/>
            <w:vAlign w:val="center"/>
          </w:tcPr>
          <w:p>
            <w:pPr>
              <w:pStyle w:val="TableText"/>
            </w:pPr>
            <w:r>
              <w:t>Regulatory Affairs Reviewer</w:t>
            </w:r>
          </w:p>
        </w:tc>
        <w:tc>
          <w:tcPr>
            <w:tcW w:type="dxa" w:w="6768"/>
            <w:vAlign w:val="center"/>
          </w:tcPr>
          <w:p>
            <w:pPr>
              <w:pStyle w:val="TableText"/>
            </w:pPr>
            <w:r>
              <w:t>Assesses regulatory reportability at Initial Assessment; confirms that any regulatory commitments are satisfied before Effectiveness Check is closed as Effective.</w:t>
            </w:r>
          </w:p>
        </w:tc>
      </w:tr>
    </w:tbl>
    <w:p>
      <w:pPr>
        <w:pStyle w:val="Heading1"/>
      </w:pPr>
      <w:r>
        <w:rPr>
          <w:color w:val="0B5D3B"/>
        </w:rPr>
        <w:t>4. Definitions and Abbreviations</w:t>
      </w:r>
    </w:p>
    <w:tbl>
      <w:tblPr>
        <w:tblStyle w:val="TableGrid"/>
        <w:tblW w:type="auto" w:w="0"/>
        <w:jc w:val="center"/>
        <w:tblLayout w:type="fixed"/>
        <w:tblLook w:firstColumn="1" w:firstRow="1" w:lastColumn="0" w:lastRow="0" w:noHBand="0" w:noVBand="1" w:val="04A0"/>
      </w:tblPr>
      <w:tblGrid>
        <w:gridCol w:w="2736"/>
        <w:gridCol w:w="6624"/>
      </w:tblGrid>
      <w:tr>
        <w:tc>
          <w:tcPr>
            <w:tcW w:type="dxa" w:w="2736"/>
            <w:shd w:val="clear" w:color="auto" w:fill="0B5D3B"/>
            <w:vAlign w:val="center"/>
          </w:tcPr>
          <w:p>
            <w:r>
              <w:rPr>
                <w:b/>
                <w:color w:val="FFFFFF"/>
                <w:sz w:val="20"/>
              </w:rPr>
              <w:t>Term</w:t>
            </w:r>
          </w:p>
        </w:tc>
        <w:tc>
          <w:tcPr>
            <w:tcW w:type="dxa" w:w="6624"/>
            <w:shd w:val="clear" w:color="auto" w:fill="0B5D3B"/>
            <w:vAlign w:val="center"/>
          </w:tcPr>
          <w:p>
            <w:r>
              <w:rPr>
                <w:b/>
                <w:color w:val="FFFFFF"/>
                <w:sz w:val="20"/>
              </w:rPr>
              <w:t>Definition</w:t>
            </w:r>
          </w:p>
        </w:tc>
      </w:tr>
      <w:tr>
        <w:tc>
          <w:tcPr>
            <w:tcW w:type="dxa" w:w="2736"/>
            <w:vAlign w:val="center"/>
          </w:tcPr>
          <w:p>
            <w:pPr>
              <w:pStyle w:val="TableText"/>
            </w:pPr>
            <w:r>
              <w:t>CAPA</w:t>
            </w:r>
          </w:p>
        </w:tc>
        <w:tc>
          <w:tcPr>
            <w:tcW w:type="dxa" w:w="6624"/>
            <w:vAlign w:val="center"/>
          </w:tcPr>
          <w:p>
            <w:pPr>
              <w:pStyle w:val="TableText"/>
            </w:pPr>
            <w:r>
              <w:t>Corrective and Preventive Action: an action taken to eliminate the cause of a detected non-conformity (corrective) or of a potential non-conformity (preventive).</w:t>
            </w:r>
          </w:p>
        </w:tc>
      </w:tr>
      <w:tr>
        <w:tc>
          <w:tcPr>
            <w:tcW w:type="dxa" w:w="2736"/>
            <w:vAlign w:val="center"/>
          </w:tcPr>
          <w:p>
            <w:pPr>
              <w:pStyle w:val="TableText"/>
            </w:pPr>
            <w:r>
              <w:t>Deviation</w:t>
            </w:r>
          </w:p>
        </w:tc>
        <w:tc>
          <w:tcPr>
            <w:tcW w:type="dxa" w:w="6624"/>
            <w:vAlign w:val="center"/>
          </w:tcPr>
          <w:p>
            <w:pPr>
              <w:pStyle w:val="TableText"/>
            </w:pPr>
            <w:r>
              <w:t>Any unplanned event or departure from an approved procedure, specification or in-process control.</w:t>
            </w:r>
          </w:p>
        </w:tc>
      </w:tr>
      <w:tr>
        <w:tc>
          <w:tcPr>
            <w:tcW w:type="dxa" w:w="2736"/>
            <w:vAlign w:val="center"/>
          </w:tcPr>
          <w:p>
            <w:pPr>
              <w:pStyle w:val="TableText"/>
            </w:pPr>
            <w:r>
              <w:t>Case Reference Number</w:t>
            </w:r>
          </w:p>
        </w:tc>
        <w:tc>
          <w:tcPr>
            <w:tcW w:type="dxa" w:w="6624"/>
            <w:vAlign w:val="center"/>
          </w:tcPr>
          <w:p>
            <w:pPr>
              <w:pStyle w:val="TableText"/>
            </w:pPr>
            <w:r>
              <w:t>Unique identifier assigned to each deviation record on opening, in the format DEV-YYYY-NNNNN (e.g. DEV-2026-00147).</w:t>
            </w:r>
          </w:p>
        </w:tc>
      </w:tr>
      <w:tr>
        <w:tc>
          <w:tcPr>
            <w:tcW w:type="dxa" w:w="2736"/>
            <w:vAlign w:val="center"/>
          </w:tcPr>
          <w:p>
            <w:pPr>
              <w:pStyle w:val="TableText"/>
            </w:pPr>
            <w:r>
              <w:t>Root Cause Analysis (RCA)</w:t>
            </w:r>
          </w:p>
        </w:tc>
        <w:tc>
          <w:tcPr>
            <w:tcW w:type="dxa" w:w="6624"/>
            <w:vAlign w:val="center"/>
          </w:tcPr>
          <w:p>
            <w:pPr>
              <w:pStyle w:val="TableText"/>
            </w:pPr>
            <w:r>
              <w:t>Structured investigation performed to identify the underlying cause(s) of a deviation, per SOP-QA-008 (Root Cause Analysis Methods).</w:t>
            </w:r>
          </w:p>
        </w:tc>
      </w:tr>
      <w:tr>
        <w:tc>
          <w:tcPr>
            <w:tcW w:type="dxa" w:w="2736"/>
            <w:vAlign w:val="center"/>
          </w:tcPr>
          <w:p>
            <w:pPr>
              <w:pStyle w:val="TableText"/>
            </w:pPr>
            <w:r>
              <w:t>Effectiveness Check</w:t>
            </w:r>
          </w:p>
        </w:tc>
        <w:tc>
          <w:tcPr>
            <w:tcW w:type="dxa" w:w="6624"/>
            <w:vAlign w:val="center"/>
          </w:tcPr>
          <w:p>
            <w:pPr>
              <w:pStyle w:val="TableText"/>
            </w:pPr>
            <w:r>
              <w:t>Verification, after a defined monitoring period, that implemented CAPA actions have eliminated or adequately mitigated the root cause and prevented recurrence.</w:t>
            </w:r>
          </w:p>
        </w:tc>
      </w:tr>
      <w:tr>
        <w:tc>
          <w:tcPr>
            <w:tcW w:type="dxa" w:w="2736"/>
            <w:vAlign w:val="center"/>
          </w:tcPr>
          <w:p>
            <w:pPr>
              <w:pStyle w:val="TableText"/>
            </w:pPr>
            <w:r>
              <w:t>Severity</w:t>
            </w:r>
          </w:p>
        </w:tc>
        <w:tc>
          <w:tcPr>
            <w:tcW w:type="dxa" w:w="6624"/>
            <w:vAlign w:val="center"/>
          </w:tcPr>
          <w:p>
            <w:pPr>
              <w:pStyle w:val="TableText"/>
            </w:pPr>
            <w:r>
              <w:t>Classification of a deviation's potential or actual impact — Minor, Major or Critical — assigned at Initial Assessment per Section 6.</w:t>
            </w:r>
          </w:p>
        </w:tc>
      </w:tr>
      <w:tr>
        <w:tc>
          <w:tcPr>
            <w:tcW w:type="dxa" w:w="2736"/>
            <w:vAlign w:val="center"/>
          </w:tcPr>
          <w:p>
            <w:pPr>
              <w:pStyle w:val="TableText"/>
            </w:pPr>
            <w:r>
              <w:t>QMS</w:t>
            </w:r>
          </w:p>
        </w:tc>
        <w:tc>
          <w:tcPr>
            <w:tcW w:type="dxa" w:w="6624"/>
            <w:vAlign w:val="center"/>
          </w:tcPr>
          <w:p>
            <w:pPr>
              <w:pStyle w:val="TableText"/>
            </w:pPr>
            <w:r>
              <w:t>Quality Management System.</w:t>
            </w:r>
          </w:p>
        </w:tc>
      </w:tr>
      <w:tr>
        <w:tc>
          <w:tcPr>
            <w:tcW w:type="dxa" w:w="2736"/>
            <w:vAlign w:val="center"/>
          </w:tcPr>
          <w:p>
            <w:pPr>
              <w:pStyle w:val="TableText"/>
            </w:pPr>
            <w:r>
              <w:t>GMP</w:t>
            </w:r>
          </w:p>
        </w:tc>
        <w:tc>
          <w:tcPr>
            <w:tcW w:type="dxa" w:w="6624"/>
            <w:vAlign w:val="center"/>
          </w:tcPr>
          <w:p>
            <w:pPr>
              <w:pStyle w:val="TableText"/>
            </w:pPr>
            <w:r>
              <w:t>Good Manufacturing Practice.</w:t>
            </w:r>
          </w:p>
        </w:tc>
      </w:tr>
      <w:tr>
        <w:tc>
          <w:tcPr>
            <w:tcW w:type="dxa" w:w="2736"/>
            <w:vAlign w:val="center"/>
          </w:tcPr>
          <w:p>
            <w:pPr>
              <w:pStyle w:val="TableText"/>
            </w:pPr>
            <w:r>
              <w:t>Quality Council</w:t>
            </w:r>
          </w:p>
        </w:tc>
        <w:tc>
          <w:tcPr>
            <w:tcW w:type="dxa" w:w="6624"/>
            <w:vAlign w:val="center"/>
          </w:tcPr>
          <w:p>
            <w:pPr>
              <w:pStyle w:val="TableText"/>
            </w:pPr>
            <w:r>
              <w:t>Cross-functional quality governance board defined in SOP-QA-014, responsible for approving Major/Critical CAPA plans and for Critical-severity risk escalation.</w:t>
            </w:r>
          </w:p>
        </w:tc>
      </w:tr>
      <w:tr>
        <w:tc>
          <w:tcPr>
            <w:tcW w:type="dxa" w:w="2736"/>
            <w:vAlign w:val="center"/>
          </w:tcPr>
          <w:p>
            <w:pPr>
              <w:pStyle w:val="TableText"/>
            </w:pPr>
            <w:r>
              <w:t>Regulatory Closure Timeline</w:t>
            </w:r>
          </w:p>
        </w:tc>
        <w:tc>
          <w:tcPr>
            <w:tcW w:type="dxa" w:w="6624"/>
            <w:vAlign w:val="center"/>
          </w:tcPr>
          <w:p>
            <w:pPr>
              <w:pStyle w:val="TableText"/>
            </w:pPr>
            <w:r>
              <w:t>The maximum number of calendar days, counted from deviation opening, within which a case of a given severity is expected to reach Closed status (see Section 6).</w:t>
            </w:r>
          </w:p>
        </w:tc>
      </w:tr>
    </w:tbl>
    <w:p>
      <w:pPr>
        <w:pStyle w:val="Heading1"/>
      </w:pPr>
      <w:r>
        <w:rPr>
          <w:color w:val="0B5D3B"/>
        </w:rPr>
        <w:t>5. Reference Documents</w:t>
      </w:r>
    </w:p>
    <w:p>
      <w:pPr>
        <w:pStyle w:val="ListBullet"/>
      </w:pPr>
      <w:r>
        <w:rPr>
          <w:sz w:val="21"/>
        </w:rPr>
        <w:t>ICH Q10 – Pharmaceutical Quality System</w:t>
      </w:r>
    </w:p>
    <w:p>
      <w:pPr>
        <w:pStyle w:val="ListBullet"/>
      </w:pPr>
      <w:r>
        <w:rPr>
          <w:sz w:val="21"/>
        </w:rPr>
        <w:t>ICH Q9(R1) – Quality Risk Management</w:t>
      </w:r>
    </w:p>
    <w:p>
      <w:pPr>
        <w:pStyle w:val="ListBullet"/>
      </w:pPr>
      <w:r>
        <w:rPr>
          <w:sz w:val="21"/>
        </w:rPr>
        <w:t>EudraLex, Volume 4, Part I, Chapter 1 – Pharmaceutical Quality System</w:t>
      </w:r>
    </w:p>
    <w:p>
      <w:pPr>
        <w:pStyle w:val="ListBullet"/>
      </w:pPr>
      <w:r>
        <w:rPr>
          <w:sz w:val="21"/>
        </w:rPr>
        <w:t>US FDA 21 CFR § 211.22 – Responsibilities of the Quality Control Unit</w:t>
      </w:r>
    </w:p>
    <w:p>
      <w:pPr>
        <w:pStyle w:val="ListBullet"/>
      </w:pPr>
      <w:r>
        <w:rPr>
          <w:sz w:val="21"/>
        </w:rPr>
        <w:t>US FDA 21 CFR § 211.192 – Production Record Review</w:t>
      </w:r>
    </w:p>
    <w:p>
      <w:pPr>
        <w:pStyle w:val="ListBullet"/>
      </w:pPr>
      <w:r>
        <w:rPr>
          <w:sz w:val="21"/>
        </w:rPr>
        <w:t>SOP-QA-002 – Document and Record Retention</w:t>
      </w:r>
    </w:p>
    <w:p>
      <w:pPr>
        <w:pStyle w:val="ListBullet"/>
      </w:pPr>
      <w:r>
        <w:rPr>
          <w:sz w:val="21"/>
        </w:rPr>
        <w:t>SOP-QA-005 – Change Control Management</w:t>
      </w:r>
    </w:p>
    <w:p>
      <w:pPr>
        <w:pStyle w:val="ListBullet"/>
      </w:pPr>
      <w:r>
        <w:rPr>
          <w:sz w:val="21"/>
        </w:rPr>
        <w:t>SOP-QA-008 – Root Cause Analysis Methods</w:t>
      </w:r>
    </w:p>
    <w:p>
      <w:pPr>
        <w:pStyle w:val="ListBullet"/>
      </w:pPr>
      <w:r>
        <w:rPr>
          <w:sz w:val="21"/>
        </w:rPr>
        <w:t>SOP-QA-014 – Quality Council Charter</w:t>
      </w:r>
    </w:p>
    <w:p>
      <w:pPr>
        <w:pStyle w:val="ListBullet"/>
      </w:pPr>
      <w:r>
        <w:rPr>
          <w:sz w:val="21"/>
        </w:rPr>
        <w:t>SOP-QA-020 – Product Complaint Handling</w:t>
      </w:r>
    </w:p>
    <w:p>
      <w:pPr>
        <w:pStyle w:val="ListBullet"/>
      </w:pPr>
      <w:r>
        <w:rPr>
          <w:sz w:val="21"/>
        </w:rPr>
        <w:t>SOP-QA-030 – Product Recall Procedure</w:t>
      </w:r>
    </w:p>
    <w:p>
      <w:pPr>
        <w:pStyle w:val="Heading1"/>
      </w:pPr>
      <w:r>
        <w:rPr>
          <w:color w:val="0B5D3B"/>
        </w:rPr>
        <w:t>6. Severity Classification and Regulatory Closure Timelines</w:t>
      </w:r>
    </w:p>
    <w:p>
      <w:r>
        <w:rPr>
          <w:b w:val="0"/>
          <w:i w:val="0"/>
          <w:sz w:val="21"/>
        </w:rPr>
        <w:t>Severity is assigned at Initial Assessment (Section 8.2) and may only be revised by the Site Quality Manager based on new evidence, with rationale documented in the case record.</w:t>
      </w:r>
    </w:p>
    <w:tbl>
      <w:tblPr>
        <w:tblStyle w:val="TableGrid"/>
        <w:tblW w:type="auto" w:w="0"/>
        <w:jc w:val="center"/>
        <w:tblLayout w:type="fixed"/>
        <w:tblLook w:firstColumn="1" w:firstRow="1" w:lastColumn="0" w:lastRow="0" w:noHBand="0" w:noVBand="1" w:val="04A0"/>
      </w:tblPr>
      <w:tblGrid>
        <w:gridCol w:w="1296"/>
        <w:gridCol w:w="4608"/>
        <w:gridCol w:w="2016"/>
        <w:gridCol w:w="1440"/>
      </w:tblGrid>
      <w:tr>
        <w:tc>
          <w:tcPr>
            <w:tcW w:type="dxa" w:w="1296"/>
            <w:shd w:val="clear" w:color="auto" w:fill="0B5D3B"/>
            <w:vAlign w:val="center"/>
          </w:tcPr>
          <w:p>
            <w:r>
              <w:rPr>
                <w:b/>
                <w:color w:val="FFFFFF"/>
                <w:sz w:val="20"/>
              </w:rPr>
              <w:t>Severity</w:t>
            </w:r>
          </w:p>
        </w:tc>
        <w:tc>
          <w:tcPr>
            <w:tcW w:type="dxa" w:w="4608"/>
            <w:shd w:val="clear" w:color="auto" w:fill="0B5D3B"/>
            <w:vAlign w:val="center"/>
          </w:tcPr>
          <w:p>
            <w:r>
              <w:rPr>
                <w:b/>
                <w:color w:val="FFFFFF"/>
                <w:sz w:val="20"/>
              </w:rPr>
              <w:t>Definition</w:t>
            </w:r>
          </w:p>
        </w:tc>
        <w:tc>
          <w:tcPr>
            <w:tcW w:type="dxa" w:w="2016"/>
            <w:shd w:val="clear" w:color="auto" w:fill="0B5D3B"/>
            <w:vAlign w:val="center"/>
          </w:tcPr>
          <w:p>
            <w:r>
              <w:rPr>
                <w:b/>
                <w:color w:val="FFFFFF"/>
                <w:sz w:val="20"/>
              </w:rPr>
              <w:t>Investigation Start Target</w:t>
            </w:r>
          </w:p>
        </w:tc>
        <w:tc>
          <w:tcPr>
            <w:tcW w:type="dxa" w:w="1440"/>
            <w:shd w:val="clear" w:color="auto" w:fill="0B5D3B"/>
            <w:vAlign w:val="center"/>
          </w:tcPr>
          <w:p>
            <w:r>
              <w:rPr>
                <w:b/>
                <w:color w:val="FFFFFF"/>
                <w:sz w:val="20"/>
              </w:rPr>
              <w:t>Regulatory Closure Timeline</w:t>
            </w:r>
          </w:p>
        </w:tc>
      </w:tr>
      <w:tr>
        <w:tc>
          <w:tcPr>
            <w:tcW w:type="dxa" w:w="1296"/>
            <w:vAlign w:val="center"/>
          </w:tcPr>
          <w:p>
            <w:pPr>
              <w:pStyle w:val="TableText"/>
            </w:pPr>
            <w:r>
              <w:t>Critical</w:t>
            </w:r>
          </w:p>
        </w:tc>
        <w:tc>
          <w:tcPr>
            <w:tcW w:type="dxa" w:w="4608"/>
            <w:vAlign w:val="center"/>
          </w:tcPr>
          <w:p>
            <w:pPr>
              <w:pStyle w:val="TableText"/>
            </w:pPr>
            <w:r>
              <w:t>Potential or actual impact to patient safety, product quality or data integrity; may trigger a regulatory reporting obligation.</w:t>
            </w:r>
          </w:p>
        </w:tc>
        <w:tc>
          <w:tcPr>
            <w:tcW w:type="dxa" w:w="2016"/>
            <w:vAlign w:val="center"/>
          </w:tcPr>
          <w:p>
            <w:pPr>
              <w:pStyle w:val="TableText"/>
            </w:pPr>
            <w:r>
              <w:t>Within 24 hours</w:t>
            </w:r>
          </w:p>
        </w:tc>
        <w:tc>
          <w:tcPr>
            <w:tcW w:type="dxa" w:w="1440"/>
            <w:vAlign w:val="center"/>
          </w:tcPr>
          <w:p>
            <w:pPr>
              <w:pStyle w:val="TableText"/>
            </w:pPr>
            <w:r>
              <w:t>30 calendar days</w:t>
            </w:r>
          </w:p>
        </w:tc>
      </w:tr>
      <w:tr>
        <w:tc>
          <w:tcPr>
            <w:tcW w:type="dxa" w:w="1296"/>
            <w:vAlign w:val="center"/>
          </w:tcPr>
          <w:p>
            <w:pPr>
              <w:pStyle w:val="TableText"/>
            </w:pPr>
            <w:r>
              <w:t>Major</w:t>
            </w:r>
          </w:p>
        </w:tc>
        <w:tc>
          <w:tcPr>
            <w:tcW w:type="dxa" w:w="4608"/>
            <w:vAlign w:val="center"/>
          </w:tcPr>
          <w:p>
            <w:pPr>
              <w:pStyle w:val="TableText"/>
            </w:pPr>
            <w:r>
              <w:t>Significant impact to product quality or GMP compliance without immediate patient safety impact.</w:t>
            </w:r>
          </w:p>
        </w:tc>
        <w:tc>
          <w:tcPr>
            <w:tcW w:type="dxa" w:w="2016"/>
            <w:vAlign w:val="center"/>
          </w:tcPr>
          <w:p>
            <w:pPr>
              <w:pStyle w:val="TableText"/>
            </w:pPr>
            <w:r>
              <w:t>Within 3 business days</w:t>
            </w:r>
          </w:p>
        </w:tc>
        <w:tc>
          <w:tcPr>
            <w:tcW w:type="dxa" w:w="1440"/>
            <w:vAlign w:val="center"/>
          </w:tcPr>
          <w:p>
            <w:pPr>
              <w:pStyle w:val="TableText"/>
            </w:pPr>
            <w:r>
              <w:t>60 calendar days</w:t>
            </w:r>
          </w:p>
        </w:tc>
      </w:tr>
      <w:tr>
        <w:tc>
          <w:tcPr>
            <w:tcW w:type="dxa" w:w="1296"/>
            <w:vAlign w:val="center"/>
          </w:tcPr>
          <w:p>
            <w:pPr>
              <w:pStyle w:val="TableText"/>
            </w:pPr>
            <w:r>
              <w:t>Minor</w:t>
            </w:r>
          </w:p>
        </w:tc>
        <w:tc>
          <w:tcPr>
            <w:tcW w:type="dxa" w:w="4608"/>
            <w:vAlign w:val="center"/>
          </w:tcPr>
          <w:p>
            <w:pPr>
              <w:pStyle w:val="TableText"/>
            </w:pPr>
            <w:r>
              <w:t>Limited or no impact to product quality; procedural or documentation non-conformance.</w:t>
            </w:r>
          </w:p>
        </w:tc>
        <w:tc>
          <w:tcPr>
            <w:tcW w:type="dxa" w:w="2016"/>
            <w:vAlign w:val="center"/>
          </w:tcPr>
          <w:p>
            <w:pPr>
              <w:pStyle w:val="TableText"/>
            </w:pPr>
            <w:r>
              <w:t>Within 5 business days</w:t>
            </w:r>
          </w:p>
        </w:tc>
        <w:tc>
          <w:tcPr>
            <w:tcW w:type="dxa" w:w="1440"/>
            <w:vAlign w:val="center"/>
          </w:tcPr>
          <w:p>
            <w:pPr>
              <w:pStyle w:val="TableText"/>
            </w:pPr>
            <w:r>
              <w:t>90 calendar days</w:t>
            </w:r>
          </w:p>
        </w:tc>
      </w:tr>
    </w:tbl>
    <w:p>
      <w:r>
        <w:br w:type="page"/>
      </w:r>
    </w:p>
    <w:p>
      <w:pPr>
        <w:pStyle w:val="Heading1"/>
      </w:pPr>
      <w:r>
        <w:rPr>
          <w:color w:val="0B5D3B"/>
        </w:rPr>
        <w:t>7. Process Flow Overview</w:t>
      </w:r>
    </w:p>
    <w:p>
      <w:r>
        <w:rPr>
          <w:b w:val="0"/>
          <w:i w:val="0"/>
          <w:sz w:val="21"/>
        </w:rPr>
        <w:t>Every deviation follows the same nine-stage flow from opening to closure, illustrated below. Section 8 details the activities, responsible role and exit criteria of each stage. Section 9 governs escalation, CAPA rework and case reopening, which operate alongside — not as alternative branches of — this core flow.</w:t>
      </w:r>
    </w:p>
    <w:p>
      <w:pPr>
        <w:jc w:val="center"/>
      </w:pPr>
      <w:r>
        <w:rPr>
          <w:b/>
          <w:color w:val="0B5D3B"/>
          <w:sz w:val="21"/>
        </w:rPr>
        <w:t>Deviation Opened  →  Initial Assessment  →  Investigation Assigned  →  Root Cause Analysis  →  CAPA Proposed  →  CAPA Approved  →  CAPA Implemented  →  Effectiveness Check  →  Closed</w:t>
      </w:r>
    </w:p>
    <w:p/>
    <w:tbl>
      <w:tblPr>
        <w:tblStyle w:val="TableGrid"/>
        <w:tblW w:type="auto" w:w="0"/>
        <w:jc w:val="center"/>
        <w:tblLayout w:type="fixed"/>
        <w:tblLook w:firstColumn="1" w:firstRow="1" w:lastColumn="0" w:lastRow="0" w:noHBand="0" w:noVBand="1" w:val="04A0"/>
      </w:tblPr>
      <w:tblGrid>
        <w:gridCol w:w="504"/>
        <w:gridCol w:w="2160"/>
        <w:gridCol w:w="4176"/>
        <w:gridCol w:w="2520"/>
      </w:tblGrid>
      <w:tr>
        <w:tc>
          <w:tcPr>
            <w:tcW w:type="dxa" w:w="504"/>
            <w:shd w:val="clear" w:color="auto" w:fill="0B5D3B"/>
            <w:vAlign w:val="center"/>
          </w:tcPr>
          <w:p>
            <w:r>
              <w:rPr>
                <w:b/>
                <w:color w:val="FFFFFF"/>
                <w:sz w:val="20"/>
              </w:rPr>
              <w:t>#</w:t>
            </w:r>
          </w:p>
        </w:tc>
        <w:tc>
          <w:tcPr>
            <w:tcW w:type="dxa" w:w="2160"/>
            <w:shd w:val="clear" w:color="auto" w:fill="0B5D3B"/>
            <w:vAlign w:val="center"/>
          </w:tcPr>
          <w:p>
            <w:r>
              <w:rPr>
                <w:b/>
                <w:color w:val="FFFFFF"/>
                <w:sz w:val="20"/>
              </w:rPr>
              <w:t>Stage</w:t>
            </w:r>
          </w:p>
        </w:tc>
        <w:tc>
          <w:tcPr>
            <w:tcW w:type="dxa" w:w="4176"/>
            <w:shd w:val="clear" w:color="auto" w:fill="0B5D3B"/>
            <w:vAlign w:val="center"/>
          </w:tcPr>
          <w:p>
            <w:r>
              <w:rPr>
                <w:b/>
                <w:color w:val="FFFFFF"/>
                <w:sz w:val="20"/>
              </w:rPr>
              <w:t>Responsible Role</w:t>
            </w:r>
          </w:p>
        </w:tc>
        <w:tc>
          <w:tcPr>
            <w:tcW w:type="dxa" w:w="2520"/>
            <w:shd w:val="clear" w:color="auto" w:fill="0B5D3B"/>
            <w:vAlign w:val="center"/>
          </w:tcPr>
          <w:p>
            <w:r>
              <w:rPr>
                <w:b/>
                <w:color w:val="FFFFFF"/>
                <w:sz w:val="20"/>
              </w:rPr>
              <w:t>Target Timing</w:t>
            </w:r>
          </w:p>
        </w:tc>
      </w:tr>
      <w:tr>
        <w:tc>
          <w:tcPr>
            <w:tcW w:type="dxa" w:w="504"/>
            <w:vAlign w:val="center"/>
          </w:tcPr>
          <w:p>
            <w:pPr>
              <w:pStyle w:val="TableText"/>
            </w:pPr>
            <w:r>
              <w:t>1</w:t>
            </w:r>
          </w:p>
        </w:tc>
        <w:tc>
          <w:tcPr>
            <w:tcW w:type="dxa" w:w="2160"/>
            <w:vAlign w:val="center"/>
          </w:tcPr>
          <w:p>
            <w:pPr>
              <w:pStyle w:val="TableText"/>
            </w:pPr>
            <w:r>
              <w:t>Deviation Opened</w:t>
            </w:r>
          </w:p>
        </w:tc>
        <w:tc>
          <w:tcPr>
            <w:tcW w:type="dxa" w:w="4176"/>
            <w:vAlign w:val="center"/>
          </w:tcPr>
          <w:p>
            <w:pPr>
              <w:pStyle w:val="TableText"/>
            </w:pPr>
            <w:r>
              <w:t>Production Supervisor (identification); logged by QA</w:t>
            </w:r>
          </w:p>
        </w:tc>
        <w:tc>
          <w:tcPr>
            <w:tcW w:type="dxa" w:w="2520"/>
            <w:vAlign w:val="center"/>
          </w:tcPr>
          <w:p>
            <w:pPr>
              <w:pStyle w:val="TableText"/>
            </w:pPr>
            <w:r>
              <w:t>Within 24 hours of discovery</w:t>
            </w:r>
          </w:p>
        </w:tc>
      </w:tr>
      <w:tr>
        <w:tc>
          <w:tcPr>
            <w:tcW w:type="dxa" w:w="504"/>
            <w:vAlign w:val="center"/>
          </w:tcPr>
          <w:p>
            <w:pPr>
              <w:pStyle w:val="TableText"/>
            </w:pPr>
            <w:r>
              <w:t>2</w:t>
            </w:r>
          </w:p>
        </w:tc>
        <w:tc>
          <w:tcPr>
            <w:tcW w:type="dxa" w:w="2160"/>
            <w:vAlign w:val="center"/>
          </w:tcPr>
          <w:p>
            <w:pPr>
              <w:pStyle w:val="TableText"/>
            </w:pPr>
            <w:r>
              <w:t>Initial Assessment</w:t>
            </w:r>
          </w:p>
        </w:tc>
        <w:tc>
          <w:tcPr>
            <w:tcW w:type="dxa" w:w="4176"/>
            <w:vAlign w:val="center"/>
          </w:tcPr>
          <w:p>
            <w:pPr>
              <w:pStyle w:val="TableText"/>
            </w:pPr>
            <w:r>
              <w:t>QA Investigator</w:t>
            </w:r>
          </w:p>
        </w:tc>
        <w:tc>
          <w:tcPr>
            <w:tcW w:type="dxa" w:w="2520"/>
            <w:vAlign w:val="center"/>
          </w:tcPr>
          <w:p>
            <w:pPr>
              <w:pStyle w:val="TableText"/>
            </w:pPr>
            <w:r>
              <w:t>Per Section 6, by severity</w:t>
            </w:r>
          </w:p>
        </w:tc>
      </w:tr>
      <w:tr>
        <w:tc>
          <w:tcPr>
            <w:tcW w:type="dxa" w:w="504"/>
            <w:vAlign w:val="center"/>
          </w:tcPr>
          <w:p>
            <w:pPr>
              <w:pStyle w:val="TableText"/>
            </w:pPr>
            <w:r>
              <w:t>3</w:t>
            </w:r>
          </w:p>
        </w:tc>
        <w:tc>
          <w:tcPr>
            <w:tcW w:type="dxa" w:w="2160"/>
            <w:vAlign w:val="center"/>
          </w:tcPr>
          <w:p>
            <w:pPr>
              <w:pStyle w:val="TableText"/>
            </w:pPr>
            <w:r>
              <w:t>Investigation Assigned</w:t>
            </w:r>
          </w:p>
        </w:tc>
        <w:tc>
          <w:tcPr>
            <w:tcW w:type="dxa" w:w="4176"/>
            <w:vAlign w:val="center"/>
          </w:tcPr>
          <w:p>
            <w:pPr>
              <w:pStyle w:val="TableText"/>
            </w:pPr>
            <w:r>
              <w:t>Site Quality Manager</w:t>
            </w:r>
          </w:p>
        </w:tc>
        <w:tc>
          <w:tcPr>
            <w:tcW w:type="dxa" w:w="2520"/>
            <w:vAlign w:val="center"/>
          </w:tcPr>
          <w:p>
            <w:pPr>
              <w:pStyle w:val="TableText"/>
            </w:pPr>
            <w:r>
              <w:t>Immediately following assessment</w:t>
            </w:r>
          </w:p>
        </w:tc>
      </w:tr>
      <w:tr>
        <w:tc>
          <w:tcPr>
            <w:tcW w:type="dxa" w:w="504"/>
            <w:vAlign w:val="center"/>
          </w:tcPr>
          <w:p>
            <w:pPr>
              <w:pStyle w:val="TableText"/>
            </w:pPr>
            <w:r>
              <w:t>4</w:t>
            </w:r>
          </w:p>
        </w:tc>
        <w:tc>
          <w:tcPr>
            <w:tcW w:type="dxa" w:w="2160"/>
            <w:vAlign w:val="center"/>
          </w:tcPr>
          <w:p>
            <w:pPr>
              <w:pStyle w:val="TableText"/>
            </w:pPr>
            <w:r>
              <w:t>Root Cause Analysis</w:t>
            </w:r>
          </w:p>
        </w:tc>
        <w:tc>
          <w:tcPr>
            <w:tcW w:type="dxa" w:w="4176"/>
            <w:vAlign w:val="center"/>
          </w:tcPr>
          <w:p>
            <w:pPr>
              <w:pStyle w:val="TableText"/>
            </w:pPr>
            <w:r>
              <w:t>QA Investigator</w:t>
            </w:r>
          </w:p>
        </w:tc>
        <w:tc>
          <w:tcPr>
            <w:tcW w:type="dxa" w:w="2520"/>
            <w:vAlign w:val="center"/>
          </w:tcPr>
          <w:p>
            <w:pPr>
              <w:pStyle w:val="TableText"/>
            </w:pPr>
            <w:r>
              <w:t>Per investigation due date</w:t>
            </w:r>
          </w:p>
        </w:tc>
      </w:tr>
      <w:tr>
        <w:tc>
          <w:tcPr>
            <w:tcW w:type="dxa" w:w="504"/>
            <w:vAlign w:val="center"/>
          </w:tcPr>
          <w:p>
            <w:pPr>
              <w:pStyle w:val="TableText"/>
            </w:pPr>
            <w:r>
              <w:t>5</w:t>
            </w:r>
          </w:p>
        </w:tc>
        <w:tc>
          <w:tcPr>
            <w:tcW w:type="dxa" w:w="2160"/>
            <w:vAlign w:val="center"/>
          </w:tcPr>
          <w:p>
            <w:pPr>
              <w:pStyle w:val="TableText"/>
            </w:pPr>
            <w:r>
              <w:t>CAPA Proposed</w:t>
            </w:r>
          </w:p>
        </w:tc>
        <w:tc>
          <w:tcPr>
            <w:tcW w:type="dxa" w:w="4176"/>
            <w:vAlign w:val="center"/>
          </w:tcPr>
          <w:p>
            <w:pPr>
              <w:pStyle w:val="TableText"/>
            </w:pPr>
            <w:r>
              <w:t>CAPA Owner</w:t>
            </w:r>
          </w:p>
        </w:tc>
        <w:tc>
          <w:tcPr>
            <w:tcW w:type="dxa" w:w="2520"/>
            <w:vAlign w:val="center"/>
          </w:tcPr>
          <w:p>
            <w:pPr>
              <w:pStyle w:val="TableText"/>
            </w:pPr>
            <w:r>
              <w:t>Within 10 business days of RCA completion</w:t>
            </w:r>
          </w:p>
        </w:tc>
      </w:tr>
      <w:tr>
        <w:tc>
          <w:tcPr>
            <w:tcW w:type="dxa" w:w="504"/>
            <w:vAlign w:val="center"/>
          </w:tcPr>
          <w:p>
            <w:pPr>
              <w:pStyle w:val="TableText"/>
            </w:pPr>
            <w:r>
              <w:t>6</w:t>
            </w:r>
          </w:p>
        </w:tc>
        <w:tc>
          <w:tcPr>
            <w:tcW w:type="dxa" w:w="2160"/>
            <w:vAlign w:val="center"/>
          </w:tcPr>
          <w:p>
            <w:pPr>
              <w:pStyle w:val="TableText"/>
            </w:pPr>
            <w:r>
              <w:t>CAPA Approved</w:t>
            </w:r>
          </w:p>
        </w:tc>
        <w:tc>
          <w:tcPr>
            <w:tcW w:type="dxa" w:w="4176"/>
            <w:vAlign w:val="center"/>
          </w:tcPr>
          <w:p>
            <w:pPr>
              <w:pStyle w:val="TableText"/>
            </w:pPr>
            <w:r>
              <w:t>Quality Council (Major/Critical) or Site Quality Manager (Minor)</w:t>
            </w:r>
          </w:p>
        </w:tc>
        <w:tc>
          <w:tcPr>
            <w:tcW w:type="dxa" w:w="2520"/>
            <w:vAlign w:val="center"/>
          </w:tcPr>
          <w:p>
            <w:pPr>
              <w:pStyle w:val="TableText"/>
            </w:pPr>
            <w:r>
              <w:t>Within 5 business days of proposal</w:t>
            </w:r>
          </w:p>
        </w:tc>
      </w:tr>
      <w:tr>
        <w:tc>
          <w:tcPr>
            <w:tcW w:type="dxa" w:w="504"/>
            <w:vAlign w:val="center"/>
          </w:tcPr>
          <w:p>
            <w:pPr>
              <w:pStyle w:val="TableText"/>
            </w:pPr>
            <w:r>
              <w:t>7</w:t>
            </w:r>
          </w:p>
        </w:tc>
        <w:tc>
          <w:tcPr>
            <w:tcW w:type="dxa" w:w="2160"/>
            <w:vAlign w:val="center"/>
          </w:tcPr>
          <w:p>
            <w:pPr>
              <w:pStyle w:val="TableText"/>
            </w:pPr>
            <w:r>
              <w:t>CAPA Implemented</w:t>
            </w:r>
          </w:p>
        </w:tc>
        <w:tc>
          <w:tcPr>
            <w:tcW w:type="dxa" w:w="4176"/>
            <w:vAlign w:val="center"/>
          </w:tcPr>
          <w:p>
            <w:pPr>
              <w:pStyle w:val="TableText"/>
            </w:pPr>
            <w:r>
              <w:t>CAPA Owner / Production Supervisor</w:t>
            </w:r>
          </w:p>
        </w:tc>
        <w:tc>
          <w:tcPr>
            <w:tcW w:type="dxa" w:w="2520"/>
            <w:vAlign w:val="center"/>
          </w:tcPr>
          <w:p>
            <w:pPr>
              <w:pStyle w:val="TableText"/>
            </w:pPr>
            <w:r>
              <w:t>Per approved CAPA plan</w:t>
            </w:r>
          </w:p>
        </w:tc>
      </w:tr>
      <w:tr>
        <w:tc>
          <w:tcPr>
            <w:tcW w:type="dxa" w:w="504"/>
            <w:vAlign w:val="center"/>
          </w:tcPr>
          <w:p>
            <w:pPr>
              <w:pStyle w:val="TableText"/>
            </w:pPr>
            <w:r>
              <w:t>8</w:t>
            </w:r>
          </w:p>
        </w:tc>
        <w:tc>
          <w:tcPr>
            <w:tcW w:type="dxa" w:w="2160"/>
            <w:vAlign w:val="center"/>
          </w:tcPr>
          <w:p>
            <w:pPr>
              <w:pStyle w:val="TableText"/>
            </w:pPr>
            <w:r>
              <w:t>Effectiveness Check</w:t>
            </w:r>
          </w:p>
        </w:tc>
        <w:tc>
          <w:tcPr>
            <w:tcW w:type="dxa" w:w="4176"/>
            <w:vAlign w:val="center"/>
          </w:tcPr>
          <w:p>
            <w:pPr>
              <w:pStyle w:val="TableText"/>
            </w:pPr>
            <w:r>
              <w:t>QA Investigator; Regulatory Affairs Reviewer confirms regulatory commitments</w:t>
            </w:r>
          </w:p>
        </w:tc>
        <w:tc>
          <w:tcPr>
            <w:tcW w:type="dxa" w:w="2520"/>
            <w:vAlign w:val="center"/>
          </w:tcPr>
          <w:p>
            <w:pPr>
              <w:pStyle w:val="TableText"/>
            </w:pPr>
            <w:r>
              <w:t>After the defined monitoring period</w:t>
            </w:r>
          </w:p>
        </w:tc>
      </w:tr>
      <w:tr>
        <w:tc>
          <w:tcPr>
            <w:tcW w:type="dxa" w:w="504"/>
            <w:vAlign w:val="center"/>
          </w:tcPr>
          <w:p>
            <w:pPr>
              <w:pStyle w:val="TableText"/>
            </w:pPr>
            <w:r>
              <w:t>9</w:t>
            </w:r>
          </w:p>
        </w:tc>
        <w:tc>
          <w:tcPr>
            <w:tcW w:type="dxa" w:w="2160"/>
            <w:vAlign w:val="center"/>
          </w:tcPr>
          <w:p>
            <w:pPr>
              <w:pStyle w:val="TableText"/>
            </w:pPr>
            <w:r>
              <w:t>Closed</w:t>
            </w:r>
          </w:p>
        </w:tc>
        <w:tc>
          <w:tcPr>
            <w:tcW w:type="dxa" w:w="4176"/>
            <w:vAlign w:val="center"/>
          </w:tcPr>
          <w:p>
            <w:pPr>
              <w:pStyle w:val="TableText"/>
            </w:pPr>
            <w:r>
              <w:t>Site Quality Manager</w:t>
            </w:r>
          </w:p>
        </w:tc>
        <w:tc>
          <w:tcPr>
            <w:tcW w:type="dxa" w:w="2520"/>
            <w:vAlign w:val="center"/>
          </w:tcPr>
          <w:p>
            <w:pPr>
              <w:pStyle w:val="TableText"/>
            </w:pPr>
            <w:r>
              <w:t>Per Section 6 regulatory closure timeline</w:t>
            </w:r>
          </w:p>
        </w:tc>
      </w:tr>
    </w:tbl>
    <w:p>
      <w:r>
        <w:br w:type="page"/>
      </w:r>
    </w:p>
    <w:p>
      <w:pPr>
        <w:pStyle w:val="Heading1"/>
      </w:pPr>
      <w:r>
        <w:rPr>
          <w:color w:val="0B5D3B"/>
        </w:rPr>
        <w:t>8. Detailed Procedure</w:t>
      </w:r>
    </w:p>
    <w:p>
      <w:pPr>
        <w:pStyle w:val="Heading2"/>
      </w:pPr>
      <w:r>
        <w:rPr>
          <w:color w:val="0B5D3B"/>
        </w:rPr>
        <w:t>8.1  Deviation Opened</w:t>
      </w:r>
    </w:p>
    <w:p>
      <w:r>
        <w:rPr>
          <w:b/>
          <w:sz w:val="21"/>
        </w:rPr>
        <w:t xml:space="preserve">Responsible: </w:t>
      </w:r>
      <w:r>
        <w:rPr>
          <w:sz w:val="21"/>
        </w:rPr>
        <w:t>Production Supervisor (or any GxP personnel identifying the event); record opened by QA.</w:t>
      </w:r>
    </w:p>
    <w:p>
      <w:r>
        <w:rPr>
          <w:b/>
          <w:sz w:val="21"/>
        </w:rPr>
        <w:t xml:space="preserve">Trigger: </w:t>
      </w:r>
      <w:r>
        <w:rPr>
          <w:sz w:val="21"/>
        </w:rPr>
        <w:t>Any unplanned event, out-of-specification result, or non-conformance to an approved procedure or specification is observed.</w:t>
      </w:r>
    </w:p>
    <w:p>
      <w:r>
        <w:rPr>
          <w:b/>
          <w:sz w:val="21"/>
        </w:rPr>
        <w:t>Key activities:</w:t>
      </w:r>
    </w:p>
    <w:p>
      <w:pPr>
        <w:pStyle w:val="ListBullet"/>
      </w:pPr>
      <w:r>
        <w:rPr>
          <w:sz w:val="21"/>
        </w:rPr>
        <w:t>Notify Site Quality immediately and apply immediate containment actions.</w:t>
      </w:r>
    </w:p>
    <w:p>
      <w:pPr>
        <w:pStyle w:val="ListBullet"/>
      </w:pPr>
      <w:r>
        <w:rPr>
          <w:sz w:val="21"/>
        </w:rPr>
        <w:t>Open a deviation record in the QMS with a unique case reference number (DEV-YYYY-NNNNN).</w:t>
      </w:r>
    </w:p>
    <w:p>
      <w:pPr>
        <w:pStyle w:val="ListBullet"/>
      </w:pPr>
      <w:r>
        <w:rPr>
          <w:sz w:val="21"/>
        </w:rPr>
        <w:t>Assign a deviation type: Production, Laboratory, Packaging, Distribution or Documentation.</w:t>
      </w:r>
    </w:p>
    <w:p>
      <w:r>
        <w:rPr>
          <w:b/>
          <w:sz w:val="21"/>
        </w:rPr>
        <w:t xml:space="preserve">Exit criteria / output: </w:t>
      </w:r>
      <w:r>
        <w:rPr>
          <w:sz w:val="21"/>
        </w:rPr>
        <w:t>Deviation record opened; containment actions logged.</w:t>
      </w:r>
    </w:p>
    <w:p>
      <w:pPr>
        <w:pStyle w:val="Heading2"/>
      </w:pPr>
      <w:r>
        <w:rPr>
          <w:color w:val="0B5D3B"/>
        </w:rPr>
        <w:t>8.2  Initial Assessment</w:t>
      </w:r>
    </w:p>
    <w:p>
      <w:r>
        <w:rPr>
          <w:b/>
          <w:sz w:val="21"/>
        </w:rPr>
        <w:t xml:space="preserve">Responsible: </w:t>
      </w:r>
      <w:r>
        <w:rPr>
          <w:sz w:val="21"/>
        </w:rPr>
        <w:t>QA Investigator.</w:t>
      </w:r>
    </w:p>
    <w:p>
      <w:r>
        <w:rPr>
          <w:b/>
          <w:sz w:val="21"/>
        </w:rPr>
        <w:t xml:space="preserve">Trigger: </w:t>
      </w:r>
      <w:r>
        <w:rPr>
          <w:sz w:val="21"/>
        </w:rPr>
        <w:t>A deviation record has been opened.</w:t>
      </w:r>
    </w:p>
    <w:p>
      <w:r>
        <w:rPr>
          <w:b/>
          <w:sz w:val="21"/>
        </w:rPr>
        <w:t>Key activities:</w:t>
      </w:r>
    </w:p>
    <w:p>
      <w:pPr>
        <w:pStyle w:val="ListBullet"/>
      </w:pPr>
      <w:r>
        <w:rPr>
          <w:sz w:val="21"/>
        </w:rPr>
        <w:t>Confirm the deviation type recorded at opening.</w:t>
      </w:r>
    </w:p>
    <w:p>
      <w:pPr>
        <w:pStyle w:val="ListBullet"/>
      </w:pPr>
      <w:r>
        <w:rPr>
          <w:sz w:val="21"/>
        </w:rPr>
        <w:t>Assign a preliminary severity (Minor, Major or Critical) per Section 6.</w:t>
      </w:r>
    </w:p>
    <w:p>
      <w:pPr>
        <w:pStyle w:val="ListBullet"/>
      </w:pPr>
      <w:r>
        <w:rPr>
          <w:sz w:val="21"/>
        </w:rPr>
        <w:t>Assess immediate impact on product, patient safety and regulatory commitments.</w:t>
      </w:r>
    </w:p>
    <w:p>
      <w:pPr>
        <w:pStyle w:val="ListBullet"/>
      </w:pPr>
      <w:r>
        <w:rPr>
          <w:sz w:val="21"/>
        </w:rPr>
        <w:t>Flag potential regulatory reportability to the Regulatory Affairs Reviewer.</w:t>
      </w:r>
    </w:p>
    <w:p>
      <w:r>
        <w:rPr>
          <w:b/>
          <w:sz w:val="21"/>
        </w:rPr>
        <w:t xml:space="preserve">Exit criteria / output: </w:t>
      </w:r>
      <w:r>
        <w:rPr>
          <w:sz w:val="21"/>
        </w:rPr>
        <w:t>Documented initial assessment with severity assigned.</w:t>
      </w:r>
    </w:p>
    <w:p>
      <w:pPr>
        <w:pStyle w:val="Heading2"/>
      </w:pPr>
      <w:r>
        <w:rPr>
          <w:color w:val="0B5D3B"/>
        </w:rPr>
        <w:t>8.3  Investigation Assigned</w:t>
      </w:r>
    </w:p>
    <w:p>
      <w:r>
        <w:rPr>
          <w:b/>
          <w:sz w:val="21"/>
        </w:rPr>
        <w:t xml:space="preserve">Responsible: </w:t>
      </w:r>
      <w:r>
        <w:rPr>
          <w:sz w:val="21"/>
        </w:rPr>
        <w:t>Site Quality Manager.</w:t>
      </w:r>
    </w:p>
    <w:p>
      <w:r>
        <w:rPr>
          <w:b/>
          <w:sz w:val="21"/>
        </w:rPr>
        <w:t xml:space="preserve">Trigger: </w:t>
      </w:r>
      <w:r>
        <w:rPr>
          <w:sz w:val="21"/>
        </w:rPr>
        <w:t>Initial Assessment is complete.</w:t>
      </w:r>
    </w:p>
    <w:p>
      <w:r>
        <w:rPr>
          <w:b/>
          <w:sz w:val="21"/>
        </w:rPr>
        <w:t>Key activities:</w:t>
      </w:r>
    </w:p>
    <w:p>
      <w:pPr>
        <w:pStyle w:val="ListBullet"/>
      </w:pPr>
      <w:r>
        <w:rPr>
          <w:sz w:val="21"/>
        </w:rPr>
        <w:t>Assign a QA Investigator and, where relevant, a cross-functional investigation team.</w:t>
      </w:r>
    </w:p>
    <w:p>
      <w:pPr>
        <w:pStyle w:val="ListBullet"/>
      </w:pPr>
      <w:r>
        <w:rPr>
          <w:sz w:val="21"/>
        </w:rPr>
        <w:t>Set the investigation due date according to the severity tier (Section 6).</w:t>
      </w:r>
    </w:p>
    <w:p>
      <w:pPr>
        <w:pStyle w:val="ListBullet"/>
      </w:pPr>
      <w:r>
        <w:rPr>
          <w:sz w:val="21"/>
        </w:rPr>
        <w:t>Confirm the investigation scope.</w:t>
      </w:r>
    </w:p>
    <w:p>
      <w:r>
        <w:rPr>
          <w:b/>
          <w:sz w:val="21"/>
        </w:rPr>
        <w:t xml:space="preserve">Exit criteria / output: </w:t>
      </w:r>
      <w:r>
        <w:rPr>
          <w:sz w:val="21"/>
        </w:rPr>
        <w:t>Investigation formally assigned to a named owner with a due date.</w:t>
      </w:r>
    </w:p>
    <w:p>
      <w:pPr>
        <w:pStyle w:val="Heading2"/>
      </w:pPr>
      <w:r>
        <w:rPr>
          <w:color w:val="0B5D3B"/>
        </w:rPr>
        <w:t>8.4  Root Cause Analysis</w:t>
      </w:r>
    </w:p>
    <w:p>
      <w:r>
        <w:rPr>
          <w:b/>
          <w:sz w:val="21"/>
        </w:rPr>
        <w:t xml:space="preserve">Responsible: </w:t>
      </w:r>
      <w:r>
        <w:rPr>
          <w:sz w:val="21"/>
        </w:rPr>
        <w:t>QA Investigator, supported by Production Supervisor and subject-matter experts as needed.</w:t>
      </w:r>
    </w:p>
    <w:p>
      <w:r>
        <w:rPr>
          <w:b/>
          <w:sz w:val="21"/>
        </w:rPr>
        <w:t xml:space="preserve">Trigger: </w:t>
      </w:r>
      <w:r>
        <w:rPr>
          <w:sz w:val="21"/>
        </w:rPr>
        <w:t>Investigation has been assigned.</w:t>
      </w:r>
    </w:p>
    <w:p>
      <w:r>
        <w:rPr>
          <w:b/>
          <w:sz w:val="21"/>
        </w:rPr>
        <w:t>Key activities:</w:t>
      </w:r>
    </w:p>
    <w:p>
      <w:pPr>
        <w:pStyle w:val="ListBullet"/>
      </w:pPr>
      <w:r>
        <w:rPr>
          <w:sz w:val="21"/>
        </w:rPr>
        <w:t>Conduct the investigation using an approved methodology (5-Why, Ishikawa/fishbone or fault tree analysis) per SOP-QA-008.</w:t>
      </w:r>
    </w:p>
    <w:p>
      <w:pPr>
        <w:pStyle w:val="ListBullet"/>
      </w:pPr>
      <w:r>
        <w:rPr>
          <w:sz w:val="21"/>
        </w:rPr>
        <w:t>Gather and document objective evidence.</w:t>
      </w:r>
    </w:p>
    <w:p>
      <w:pPr>
        <w:pStyle w:val="ListBullet"/>
      </w:pPr>
      <w:r>
        <w:rPr>
          <w:sz w:val="21"/>
        </w:rPr>
        <w:t>Record the root cause(s) and contributing factors.</w:t>
      </w:r>
    </w:p>
    <w:p>
      <w:r>
        <w:rPr>
          <w:b/>
          <w:sz w:val="21"/>
        </w:rPr>
        <w:t xml:space="preserve">Exit criteria / output: </w:t>
      </w:r>
      <w:r>
        <w:rPr>
          <w:sz w:val="21"/>
        </w:rPr>
        <w:t>Root Cause Analysis report completed and root cause classification recorded.</w:t>
      </w:r>
    </w:p>
    <w:p>
      <w:pPr>
        <w:pStyle w:val="Heading2"/>
      </w:pPr>
      <w:r>
        <w:rPr>
          <w:color w:val="0B5D3B"/>
        </w:rPr>
        <w:t>8.5  CAPA Proposed</w:t>
      </w:r>
    </w:p>
    <w:p>
      <w:r>
        <w:rPr>
          <w:b/>
          <w:sz w:val="21"/>
        </w:rPr>
        <w:t xml:space="preserve">Responsible: </w:t>
      </w:r>
      <w:r>
        <w:rPr>
          <w:sz w:val="21"/>
        </w:rPr>
        <w:t>CAPA Owner.</w:t>
      </w:r>
    </w:p>
    <w:p>
      <w:r>
        <w:rPr>
          <w:b/>
          <w:sz w:val="21"/>
        </w:rPr>
        <w:t xml:space="preserve">Trigger: </w:t>
      </w:r>
      <w:r>
        <w:rPr>
          <w:sz w:val="21"/>
        </w:rPr>
        <w:t>Root Cause Analysis is complete.</w:t>
      </w:r>
    </w:p>
    <w:p>
      <w:r>
        <w:rPr>
          <w:b/>
          <w:sz w:val="21"/>
        </w:rPr>
        <w:t>Key activities:</w:t>
      </w:r>
    </w:p>
    <w:p>
      <w:pPr>
        <w:pStyle w:val="ListBullet"/>
      </w:pPr>
      <w:r>
        <w:rPr>
          <w:sz w:val="21"/>
        </w:rPr>
        <w:t>Define corrective action(s) addressing the immediate root cause.</w:t>
      </w:r>
    </w:p>
    <w:p>
      <w:pPr>
        <w:pStyle w:val="ListBullet"/>
      </w:pPr>
      <w:r>
        <w:rPr>
          <w:sz w:val="21"/>
        </w:rPr>
        <w:t>Define preventive action(s) addressing systemic contributing factors.</w:t>
      </w:r>
    </w:p>
    <w:p>
      <w:pPr>
        <w:pStyle w:val="ListBullet"/>
      </w:pPr>
      <w:r>
        <w:rPr>
          <w:sz w:val="21"/>
        </w:rPr>
        <w:t>Define the Effectiveness Check criteria and monitoring period.</w:t>
      </w:r>
    </w:p>
    <w:p>
      <w:pPr>
        <w:pStyle w:val="ListBullet"/>
      </w:pPr>
      <w:r>
        <w:rPr>
          <w:sz w:val="21"/>
        </w:rPr>
        <w:t>Submit the CAPA plan for approval.</w:t>
      </w:r>
    </w:p>
    <w:p>
      <w:r>
        <w:rPr>
          <w:b/>
          <w:sz w:val="21"/>
        </w:rPr>
        <w:t xml:space="preserve">Exit criteria / output: </w:t>
      </w:r>
      <w:r>
        <w:rPr>
          <w:sz w:val="21"/>
        </w:rPr>
        <w:t>Documented CAPA proposal with owner and target completion dates.</w:t>
      </w:r>
    </w:p>
    <w:p>
      <w:pPr>
        <w:pStyle w:val="Heading2"/>
      </w:pPr>
      <w:r>
        <w:rPr>
          <w:color w:val="0B5D3B"/>
        </w:rPr>
        <w:t>8.6  CAPA Approved</w:t>
      </w:r>
    </w:p>
    <w:p>
      <w:r>
        <w:rPr>
          <w:b/>
          <w:sz w:val="21"/>
        </w:rPr>
        <w:t xml:space="preserve">Responsible: </w:t>
      </w:r>
      <w:r>
        <w:rPr>
          <w:sz w:val="21"/>
        </w:rPr>
        <w:t>Quality Council for Major/Critical deviations; Site Quality Manager for Minor deviations.</w:t>
      </w:r>
    </w:p>
    <w:p>
      <w:r>
        <w:rPr>
          <w:b/>
          <w:sz w:val="21"/>
        </w:rPr>
        <w:t xml:space="preserve">Trigger: </w:t>
      </w:r>
      <w:r>
        <w:rPr>
          <w:sz w:val="21"/>
        </w:rPr>
        <w:t>A CAPA plan has been proposed.</w:t>
      </w:r>
    </w:p>
    <w:p>
      <w:r>
        <w:rPr>
          <w:b/>
          <w:sz w:val="21"/>
        </w:rPr>
        <w:t>Key activities:</w:t>
      </w:r>
    </w:p>
    <w:p>
      <w:pPr>
        <w:pStyle w:val="ListBullet"/>
      </w:pPr>
      <w:r>
        <w:rPr>
          <w:sz w:val="21"/>
        </w:rPr>
        <w:t>Review the CAPA plan for adequacy against the documented root cause, feasibility and resourcing.</w:t>
      </w:r>
    </w:p>
    <w:p>
      <w:pPr>
        <w:pStyle w:val="ListBullet"/>
      </w:pPr>
      <w:r>
        <w:rPr>
          <w:sz w:val="21"/>
        </w:rPr>
        <w:t>Approve the plan, or return it to the CAPA Owner with documented rationale for revision.</w:t>
      </w:r>
    </w:p>
    <w:p>
      <w:pPr>
        <w:pStyle w:val="ListBullet"/>
      </w:pPr>
      <w:r>
        <w:rPr>
          <w:sz w:val="21"/>
        </w:rPr>
        <w:t>Where a plan is returned, the CAPA Owner revises it — which may require revisiting the Root Cause Analysis findings (Section 8.4) — and resubmits it for approval.</w:t>
      </w:r>
    </w:p>
    <w:p>
      <w:r>
        <w:rPr>
          <w:b/>
          <w:sz w:val="21"/>
        </w:rPr>
        <w:t xml:space="preserve">Exit criteria / output: </w:t>
      </w:r>
      <w:r>
        <w:rPr>
          <w:sz w:val="21"/>
        </w:rPr>
        <w:t>Approved CAPA plan authorizing implementation.</w:t>
      </w:r>
    </w:p>
    <w:p>
      <w:pPr>
        <w:pStyle w:val="Heading2"/>
      </w:pPr>
      <w:r>
        <w:rPr>
          <w:color w:val="0B5D3B"/>
        </w:rPr>
        <w:t>8.7  CAPA Implemented</w:t>
      </w:r>
    </w:p>
    <w:p>
      <w:r>
        <w:rPr>
          <w:b/>
          <w:sz w:val="21"/>
        </w:rPr>
        <w:t xml:space="preserve">Responsible: </w:t>
      </w:r>
      <w:r>
        <w:rPr>
          <w:sz w:val="21"/>
        </w:rPr>
        <w:t>CAPA Owner, supported by Production Supervisor for shop-floor actions.</w:t>
      </w:r>
    </w:p>
    <w:p>
      <w:r>
        <w:rPr>
          <w:b/>
          <w:sz w:val="21"/>
        </w:rPr>
        <w:t xml:space="preserve">Trigger: </w:t>
      </w:r>
      <w:r>
        <w:rPr>
          <w:sz w:val="21"/>
        </w:rPr>
        <w:t>The CAPA plan is approved.</w:t>
      </w:r>
    </w:p>
    <w:p>
      <w:r>
        <w:rPr>
          <w:b/>
          <w:sz w:val="21"/>
        </w:rPr>
        <w:t>Key activities:</w:t>
      </w:r>
    </w:p>
    <w:p>
      <w:pPr>
        <w:pStyle w:val="ListBullet"/>
      </w:pPr>
      <w:r>
        <w:rPr>
          <w:sz w:val="21"/>
        </w:rPr>
        <w:t>Execute the approved corrective and preventive actions.</w:t>
      </w:r>
    </w:p>
    <w:p>
      <w:pPr>
        <w:pStyle w:val="ListBullet"/>
      </w:pPr>
      <w:r>
        <w:rPr>
          <w:sz w:val="21"/>
        </w:rPr>
        <w:t>Document implementation evidence (e.g. procedure revisions, training records, equipment or system changes).</w:t>
      </w:r>
    </w:p>
    <w:p>
      <w:r>
        <w:rPr>
          <w:b/>
          <w:sz w:val="21"/>
        </w:rPr>
        <w:t xml:space="preserve">Exit criteria / output: </w:t>
      </w:r>
      <w:r>
        <w:rPr>
          <w:sz w:val="21"/>
        </w:rPr>
        <w:t>Implementation evidence attached to the case record.</w:t>
      </w:r>
    </w:p>
    <w:p>
      <w:pPr>
        <w:pStyle w:val="Heading2"/>
      </w:pPr>
      <w:r>
        <w:rPr>
          <w:color w:val="0B5D3B"/>
        </w:rPr>
        <w:t>8.8  Effectiveness Check</w:t>
      </w:r>
    </w:p>
    <w:p>
      <w:r>
        <w:rPr>
          <w:b/>
          <w:sz w:val="21"/>
        </w:rPr>
        <w:t xml:space="preserve">Responsible: </w:t>
      </w:r>
      <w:r>
        <w:rPr>
          <w:sz w:val="21"/>
        </w:rPr>
        <w:t>QA Investigator; Regulatory Affairs Reviewer confirms regulatory commitments are met.</w:t>
      </w:r>
    </w:p>
    <w:p>
      <w:r>
        <w:rPr>
          <w:b/>
          <w:sz w:val="21"/>
        </w:rPr>
        <w:t xml:space="preserve">Trigger: </w:t>
      </w:r>
      <w:r>
        <w:rPr>
          <w:sz w:val="21"/>
        </w:rPr>
        <w:t>CAPA actions are implemented and the defined monitoring period has elapsed.</w:t>
      </w:r>
    </w:p>
    <w:p>
      <w:r>
        <w:rPr>
          <w:b/>
          <w:sz w:val="21"/>
        </w:rPr>
        <w:t>Key activities:</w:t>
      </w:r>
    </w:p>
    <w:p>
      <w:pPr>
        <w:pStyle w:val="ListBullet"/>
      </w:pPr>
      <w:r>
        <w:rPr>
          <w:sz w:val="21"/>
        </w:rPr>
        <w:t>Verify that the implemented actions eliminated or adequately mitigated the root cause and prevented recurrence.</w:t>
      </w:r>
    </w:p>
    <w:p>
      <w:pPr>
        <w:pStyle w:val="ListBullet"/>
      </w:pPr>
      <w:r>
        <w:rPr>
          <w:sz w:val="21"/>
        </w:rPr>
        <w:t>Review relevant monitoring data (e.g. recurrence trend, in-process KPIs).</w:t>
      </w:r>
    </w:p>
    <w:p>
      <w:pPr>
        <w:pStyle w:val="ListBullet"/>
      </w:pPr>
      <w:r>
        <w:rPr>
          <w:sz w:val="21"/>
        </w:rPr>
        <w:t>Record the conclusion: Effective or Not Effective. A Not Effective conclusion requires a new CAPA cycle from Section 8.5.</w:t>
      </w:r>
    </w:p>
    <w:p>
      <w:r>
        <w:rPr>
          <w:b/>
          <w:sz w:val="21"/>
        </w:rPr>
        <w:t xml:space="preserve">Exit criteria / output: </w:t>
      </w:r>
      <w:r>
        <w:rPr>
          <w:sz w:val="21"/>
        </w:rPr>
        <w:t>Effectiveness Check record completed. Effectiveness Check is mandatory for all Major and Critical deviations. For Minor deviations only, the Site Quality Manager may formally waive the Effectiveness Check with documented justification; routine omission without a documented waiver is a non-conformance to this SOP (see Section 12) and is monitored through periodic process analytics.</w:t>
      </w:r>
    </w:p>
    <w:p>
      <w:pPr>
        <w:pStyle w:val="Heading2"/>
      </w:pPr>
      <w:r>
        <w:rPr>
          <w:color w:val="0B5D3B"/>
        </w:rPr>
        <w:t>8.9  Closed</w:t>
      </w:r>
    </w:p>
    <w:p>
      <w:r>
        <w:rPr>
          <w:b/>
          <w:sz w:val="21"/>
        </w:rPr>
        <w:t xml:space="preserve">Responsible: </w:t>
      </w:r>
      <w:r>
        <w:rPr>
          <w:sz w:val="21"/>
        </w:rPr>
        <w:t>Site Quality Manager.</w:t>
      </w:r>
    </w:p>
    <w:p>
      <w:r>
        <w:rPr>
          <w:b/>
          <w:sz w:val="21"/>
        </w:rPr>
        <w:t xml:space="preserve">Trigger: </w:t>
      </w:r>
      <w:r>
        <w:rPr>
          <w:sz w:val="21"/>
        </w:rPr>
        <w:t>Effectiveness Check concluded Effective, or a waiver is documented.</w:t>
      </w:r>
    </w:p>
    <w:p>
      <w:r>
        <w:rPr>
          <w:b/>
          <w:sz w:val="21"/>
        </w:rPr>
        <w:t>Key activities:</w:t>
      </w:r>
    </w:p>
    <w:p>
      <w:pPr>
        <w:pStyle w:val="ListBullet"/>
      </w:pPr>
      <w:r>
        <w:rPr>
          <w:sz w:val="21"/>
        </w:rPr>
        <w:t>Confirm all CAPA actions are complete and evidence is on file.</w:t>
      </w:r>
    </w:p>
    <w:p>
      <w:pPr>
        <w:pStyle w:val="ListBullet"/>
      </w:pPr>
      <w:r>
        <w:rPr>
          <w:sz w:val="21"/>
        </w:rPr>
        <w:t>Confirm the case record is complete and consistent.</w:t>
      </w:r>
    </w:p>
    <w:p>
      <w:pPr>
        <w:pStyle w:val="ListBullet"/>
      </w:pPr>
      <w:r>
        <w:rPr>
          <w:sz w:val="21"/>
        </w:rPr>
        <w:t>Formally close the case in the QMS.</w:t>
      </w:r>
    </w:p>
    <w:p>
      <w:r>
        <w:rPr>
          <w:b/>
          <w:sz w:val="21"/>
        </w:rPr>
        <w:t xml:space="preserve">Exit criteria / output: </w:t>
      </w:r>
      <w:r>
        <w:rPr>
          <w:sz w:val="21"/>
        </w:rPr>
        <w:t>Case status set to Closed; records retained per SOP-QA-002.</w:t>
      </w:r>
    </w:p>
    <w:p>
      <w:r>
        <w:br w:type="page"/>
      </w:r>
    </w:p>
    <w:p>
      <w:pPr>
        <w:pStyle w:val="Heading1"/>
      </w:pPr>
      <w:r>
        <w:rPr>
          <w:color w:val="0B5D3B"/>
        </w:rPr>
        <w:t>9. Escalation, Rework and Reopening Governance</w:t>
      </w:r>
    </w:p>
    <w:p>
      <w:r>
        <w:rPr>
          <w:b w:val="0"/>
          <w:i w:val="0"/>
          <w:sz w:val="21"/>
        </w:rPr>
        <w:t>The following situations are managed outside the linear stage sequence described in Section 8. They are governed by this section rather than treated as additional stages of the core process.</w:t>
      </w:r>
    </w:p>
    <w:p>
      <w:pPr>
        <w:pStyle w:val="Heading2"/>
      </w:pPr>
      <w:r>
        <w:rPr>
          <w:color w:val="0B5D3B"/>
        </w:rPr>
        <w:t>9.1 Critical Severity Escalation</w:t>
      </w:r>
    </w:p>
    <w:p>
      <w:r>
        <w:rPr>
          <w:b w:val="0"/>
          <w:i w:val="0"/>
          <w:sz w:val="21"/>
        </w:rPr>
        <w:t>For deviations classified Critical at Initial Assessment, the Site Quality Manager additionally convenes the Quality Council for a dedicated risk review, in parallel with or immediately following CAPA Proposed (Section 8.5), per the Quality Council Charter (SOP-QA-014). This escalation is governed by SOP-QA-014 and is not itself a stage of the process defined in Section 7.</w:t>
      </w:r>
    </w:p>
    <w:p>
      <w:pPr>
        <w:pStyle w:val="Heading2"/>
      </w:pPr>
      <w:r>
        <w:rPr>
          <w:color w:val="0B5D3B"/>
        </w:rPr>
        <w:t>9.2 CAPA Rejection and Rework</w:t>
      </w:r>
    </w:p>
    <w:p>
      <w:r>
        <w:rPr>
          <w:b w:val="0"/>
          <w:i w:val="0"/>
          <w:sz w:val="21"/>
        </w:rPr>
        <w:t>Where a CAPA plan is not approved at Section 8.6, the case returns to the CAPA Owner for revision and, where the rejection concerns the underlying root cause, may require revisiting Root Cause Analysis (Section 8.4) before resubmission. Each rejection and rationale is retained in the case record.</w:t>
      </w:r>
    </w:p>
    <w:p>
      <w:pPr>
        <w:pStyle w:val="Heading2"/>
      </w:pPr>
      <w:r>
        <w:rPr>
          <w:color w:val="0B5D3B"/>
        </w:rPr>
        <w:t>9.3 Deviation Reopening</w:t>
      </w:r>
    </w:p>
    <w:p>
      <w:r>
        <w:rPr>
          <w:b w:val="0"/>
          <w:i w:val="0"/>
          <w:sz w:val="21"/>
        </w:rPr>
        <w:t>A Closed case may only be reopened via a documented Deviation Reopening Request, approved by the Site Quality Manager, where new information indicates the root cause was not adequately addressed or a recurrence has occurred. A reopened case re-enters the process at Root Cause Analysis (Section 8.4) and follows the standard flow described in Section 8 through to closure.</w:t>
      </w:r>
    </w:p>
    <w:p>
      <w:pPr>
        <w:pStyle w:val="Heading2"/>
      </w:pPr>
      <w:r>
        <w:rPr>
          <w:color w:val="0B5D3B"/>
        </w:rPr>
        <w:t>9.4 Investigation Queue Management</w:t>
      </w:r>
    </w:p>
    <w:p>
      <w:r>
        <w:rPr>
          <w:b w:val="0"/>
          <w:i w:val="0"/>
          <w:sz w:val="21"/>
        </w:rPr>
        <w:t>Site Quality Managers monitor investigation queue times and escalate resourcing constraints that delay Investigation Assigned (Section 8.3) beyond the target set out in Section 6. Sustained delays are reviewed at the site quality management review and are subject to periodic process analytics.</w:t>
      </w:r>
    </w:p>
    <w:p>
      <w:pPr>
        <w:pStyle w:val="Heading1"/>
      </w:pPr>
      <w:r>
        <w:rPr>
          <w:color w:val="0B5D3B"/>
        </w:rPr>
        <w:t>10. Records and Retention</w:t>
      </w:r>
    </w:p>
    <w:p>
      <w:r>
        <w:rPr>
          <w:b w:val="0"/>
          <w:i w:val="0"/>
          <w:sz w:val="21"/>
        </w:rPr>
        <w:t>Deviation records, Root Cause Analysis reports, CAPA plans and Effectiveness Check evidence are retained for the lifetime of the associated product plus the period defined in SOP-QA-002 (Document and Record Retention), with a minimum retention of ten (10) years for records supporting regulatory submissions.</w:t>
      </w:r>
    </w:p>
    <w:p>
      <w:pPr>
        <w:pStyle w:val="Heading1"/>
      </w:pPr>
      <w:r>
        <w:rPr>
          <w:color w:val="0B5D3B"/>
        </w:rPr>
        <w:t>11. Training Requirements</w:t>
      </w:r>
    </w:p>
    <w:p>
      <w:r>
        <w:rPr>
          <w:b w:val="0"/>
          <w:i w:val="0"/>
          <w:sz w:val="21"/>
        </w:rPr>
        <w:t>All personnel with a role defined in Section 3 must complete role-specific training on this SOP before independently executing the tasks described herein. Training completion is recorded in the site Learning Management System.</w:t>
      </w:r>
    </w:p>
    <w:p>
      <w:pPr>
        <w:pStyle w:val="Heading1"/>
      </w:pPr>
      <w:r>
        <w:rPr>
          <w:color w:val="0B5D3B"/>
        </w:rPr>
        <w:t>12. Deviations from this Procedure</w:t>
      </w:r>
    </w:p>
    <w:p>
      <w:r>
        <w:rPr>
          <w:b w:val="0"/>
          <w:i w:val="0"/>
          <w:sz w:val="21"/>
        </w:rPr>
        <w:t>Any inability to execute this SOP as written — including missed timelines, omitted steps or deviations from the sequence described in Section 8 — must itself be documented as a deviation under Section 8.1 of this procedure.</w:t>
      </w:r>
    </w:p>
    <w:sectPr w:rsidR="00FC693F" w:rsidRPr="0006063C" w:rsidSect="00034616">
      <w:headerReference w:type="default" r:id="rId9"/>
      <w:footerReference w:type="default" r:id="rId10"/>
      <w:pgSz w:w="11906" w:h="16838"/>
      <w:pgMar w:top="1134" w:right="1247"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 xml:space="preserve">Cortonis Pharma – Quality Assurance  |  GxP CONTROLLED DOCUMENT – CONFIDENTIAL – Uncontrolled if printed  |  Page </w:t>
    </w:r>
    <w:r>
      <w:fldChar w:fldCharType="begin"/>
      <w:instrText xml:space="preserve">PAGE</w:instrText>
      <w:fldChar w:fldCharType="separate"/>
      <w:fldChar w:fldCharType="end"/>
    </w:r>
    <w:r>
      <w:rPr>
        <w:color w:val="6B7280"/>
        <w:sz w:val="15"/>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
      <w:gridCol w:w="8352"/>
    </w:tblGrid>
    <w:tr>
      <w:tc>
        <w:tcPr>
          <w:tcW w:type="dxa" w:w="1008"/>
        </w:tcPr>
        <w:p>
          <w:r>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cortonis-pharma-icon.png"/>
                        <pic:cNvPicPr/>
                      </pic:nvPicPr>
                      <pic:blipFill>
                        <a:blip r:embed="rId1"/>
                        <a:stretch>
                          <a:fillRect/>
                        </a:stretch>
                      </pic:blipFill>
                      <pic:spPr>
                        <a:xfrm>
                          <a:off x="0" y="0"/>
                          <a:ext cx="360000" cy="360000"/>
                        </a:xfrm>
                        <a:prstGeom prst="rect"/>
                      </pic:spPr>
                    </pic:pic>
                  </a:graphicData>
                </a:graphic>
              </wp:inline>
            </w:drawing>
          </w:r>
        </w:p>
      </w:tc>
      <w:tc>
        <w:tcPr>
          <w:tcW w:type="dxa" w:w="8352"/>
        </w:tcPr>
        <w:p>
          <w:pPr>
            <w:jc w:val="right"/>
          </w:pPr>
          <w:r>
            <w:rPr>
              <w:b/>
              <w:color w:val="0B5D3B"/>
              <w:sz w:val="18"/>
            </w:rPr>
            <w:t>SOP-QA-012  |  Deviation Management and Corrective and Preventive Action (CAPA) Process</w:t>
            <w:br/>
          </w:r>
          <w:r>
            <w:rPr>
              <w:color w:val="6B7280"/>
              <w:sz w:val="16"/>
            </w:rPr>
            <w:t>Version 3.0  |  Effective 15-Jan-2025</w:t>
          </w:r>
        </w:p>
      </w:tc>
    </w:tr>
  </w:tbl>
  <w:p>
    <w:pPr>
      <w:spacing w:before="40"/>
      <w:pBdr>
        <w:bottom w:val="single" w:sz="6" w:space="1" w:color="0B5D3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18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D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D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18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