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Neue" w:hAnsi="Helvetica Neue" w:cs="Helvetica Neue"/>
          <w:sz w:val="53"/>
          <w:sz-cs w:val="53"/>
          <w:b/>
          <w:spacing w:val="0"/>
          <w:color w:val="001394"/>
        </w:rPr>
        <w:t xml:space="preserve">Das Kompetenzhaus — Kurzbericht für die Programmleitung</w:t>
      </w:r>
    </w:p>
    <w:p>
      <w:pPr>
        <w:spacing w:after="293"/>
      </w:pPr>
      <w:r>
        <w:rPr>
          <w:rFonts w:ascii="Helvetica Neue" w:hAnsi="Helvetica Neue" w:cs="Helvetica Neue"/>
          <w:sz w:val="29"/>
          <w:sz-cs w:val="29"/>
          <w:b/>
          <w:spacing w:val="0"/>
          <w:color w:val="161A26"/>
        </w:rPr>
        <w:t xml:space="preserve">Stand 1. August 2026 · Version 10 · Gian Peter Ochsner, Lehrentwicklung Psychologisches Institut UZH</w:t>
      </w:r>
      <w:r>
        <w:rPr>
          <w:rFonts w:ascii="Helvetica Neue" w:hAnsi="Helvetica Neue" w:cs="Helvetica Neue"/>
          <w:sz w:val="29"/>
          <w:sz-cs w:val="29"/>
          <w:spacing w:val="0"/>
          <w:color w:val="161A26"/>
        </w:rPr>
        <w:t xml:space="preserve"/>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Worum es geht, in drei Sätzen</w:t>
      </w:r>
    </w:p>
    <w:p>
      <w:pPr>
        <w:spacing w:after="293"/>
      </w:pPr>
      <w:r>
        <w:rPr>
          <w:rFonts w:ascii="Helvetica Neue" w:hAnsi="Helvetica Neue" w:cs="Helvetica Neue"/>
          <w:sz w:val="29"/>
          <w:sz-cs w:val="29"/>
          <w:spacing w:val="0"/>
          <w:color w:val="161A26"/>
        </w:rPr>
        <w:t xml:space="preserve">«Das Kompetenzhaus» ist ein browserbasiertes Lernspiel, in dem Studierende aus den Modulen des BSc (06B-7200-120) und des MSc (06M-7200-120) ein Haus bauen. Jeder gebaute Baustein trägt zu einem Kompetenzprofil bei — zehn fachlich-wissenschaftliche Kompetenzen, sechs KI-Kompetenzen und drei Future Skills, je auf vier Progressionsstufen. Das Spiel dient dem ULF-Projekt «Teaching Innovation in Large Classes» als studierendengerichtetes Artefakt und macht zugleich sichtbar, was eine KI-integrierte Curriculumsentwicklung konkret bedeutet.</w:t>
      </w:r>
    </w:p>
    <w:p>
      <w:pPr>
        <w:spacing w:after="293"/>
      </w:pPr>
      <w:r>
        <w:rPr>
          <w:rFonts w:ascii="Helvetica Neue" w:hAnsi="Helvetica Neue" w:cs="Helvetica Neue"/>
          <w:sz w:val="29"/>
          <w:sz-cs w:val="29"/>
          <w:spacing w:val="0"/>
          <w:color w:val="161A26"/>
        </w:rPr>
        <w:t xml:space="preserve">Kein Login, keine Serverdaten, keine Rangliste: Alles läuft im Browser der Studierenden, die Daten bleiben dort.</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Was diese Version verändert — und warum es die Programmleitung angeht</w:t>
      </w:r>
    </w:p>
    <w:p>
      <w:pPr>
        <w:spacing w:after="293"/>
      </w:pPr>
      <w:r>
        <w:rPr>
          <w:rFonts w:ascii="Helvetica Neue" w:hAnsi="Helvetica Neue" w:cs="Helvetica Neue"/>
          <w:sz w:val="29"/>
          <w:sz-cs w:val="29"/>
          <w:spacing w:val="0"/>
          <w:color w:val="161A26"/>
        </w:rPr>
        <w:t xml:space="preserve">Version 10 hat vier Befunde behoben, die das Instrument in seiner Aussagekraft eingeschränkt hätten. Alle vier sind für die Programmarbeit relevant, weil sie an Stellen sassen, an denen das Spiel etwas über das Studium behauptet.</w:t>
      </w:r>
    </w:p>
    <w:p>
      <w:pPr>
        <w:spacing w:after="333"/>
      </w:pPr>
      <w:r>
        <w:rPr>
          <w:rFonts w:ascii="Helvetica Neue" w:hAnsi="Helvetica Neue" w:cs="Helvetica Neue"/>
          <w:sz w:val="33"/>
          <w:sz-cs w:val="33"/>
          <w:b/>
          <w:spacing w:val="0"/>
          <w:color w:val="161A26"/>
        </w:rPr>
        <w:t xml:space="preserve">1. Die Prüfungsfragen fragten nicht nach dem Fach, sondern nach der Prüfungsordnung</w:t>
      </w:r>
    </w:p>
    <w:p>
      <w:pPr>
        <w:spacing w:after="293"/>
      </w:pPr>
      <w:r>
        <w:rPr>
          <w:rFonts w:ascii="Helvetica Neue" w:hAnsi="Helvetica Neue" w:cs="Helvetica Neue"/>
          <w:sz w:val="29"/>
          <w:sz-cs w:val="29"/>
          <w:spacing w:val="0"/>
          <w:color w:val="161A26"/>
        </w:rPr>
        <w:t xml:space="preserve">Jedes der 42 Module hat drei Quizfragen. Eine Auszählung ergab: </w:t>
      </w:r>
      <w:r>
        <w:rPr>
          <w:rFonts w:ascii="Helvetica Neue" w:hAnsi="Helvetica Neue" w:cs="Helvetica Neue"/>
          <w:sz w:val="29"/>
          <w:sz-cs w:val="29"/>
          <w:b/>
          <w:spacing w:val="0"/>
          <w:color w:val="161A26"/>
        </w:rPr>
        <w:t xml:space="preserve">81 Prozent der jeweils dritten Frage prüften dieselbe Sache</w:t>
      </w:r>
      <w:r>
        <w:rPr>
          <w:rFonts w:ascii="Helvetica Neue" w:hAnsi="Helvetica Neue" w:cs="Helvetica Neue"/>
          <w:sz w:val="29"/>
          <w:sz-cs w:val="29"/>
          <w:spacing w:val="0"/>
          <w:color w:val="161A26"/>
        </w:rPr>
        <w:t xml:space="preserve"> — ob Studierende die Kategorien der Prüfungslogik [A] / [B] / [C] auseinanderhalten. Das ist Metawissen über die Prüfungsordnung, nicht Fachkompetenz. In 36 von 42 Modulen kam diese Kategorienabfrage wörtlich vor.</w:t>
      </w:r>
    </w:p>
    <w:p>
      <w:pPr>
        <w:spacing w:after="293"/>
      </w:pPr>
      <w:r>
        <w:rPr>
          <w:rFonts w:ascii="Helvetica Neue" w:hAnsi="Helvetica Neue" w:cs="Helvetica Neue"/>
          <w:sz w:val="29"/>
          <w:sz-cs w:val="29"/>
          <w:spacing w:val="0"/>
          <w:color w:val="161A26"/>
        </w:rPr>
        <w:t xml:space="preserve">Ersetzt wurden 40 dieser Fragen durch acht rotierende Motive: Datenqualität, Messfehler, Replikation, Ethik, Transfer in die Praxis, typische Fehlschlüsse, Stichprobenlogik und Interpretationsspielraum. Zusätzlich wurden 13 Fragen zu künstlicher Intelligenz überarbeitet, die zwar von KI handelten, aber nicht vom Fach — künftig ist jede KI-Frage an den konkreten Modulinhalt und die dort erworbenen Fachkompetenzen gebunden.</w:t>
      </w:r>
    </w:p>
    <w:p>
      <w:pPr>
        <w:spacing w:after="293"/>
      </w:pPr>
      <w:r>
        <w:rPr>
          <w:rFonts w:ascii="Helvetica Neue" w:hAnsi="Helvetica Neue" w:cs="Helvetica Neue"/>
          <w:sz w:val="29"/>
          <w:sz-cs w:val="29"/>
          <w:spacing w:val="0"/>
          <w:color w:val="161A26"/>
        </w:rPr>
        <w:t xml:space="preserve">Nachprüfbar: In keinem der 42 Module fragt die dritte Frage noch die Prüfungskategorien ab; das häufigste Einzelmotiv kommt noch fünfmal vor statt siebenmal, das Thema Datenschutz einmal statt siebenmal.</w:t>
      </w:r>
    </w:p>
    <w:p>
      <w:pPr>
        <w:spacing w:after="293"/>
      </w:pPr>
      <w:r>
        <w:rPr>
          <w:rFonts w:ascii="Helvetica Neue" w:hAnsi="Helvetica Neue" w:cs="Helvetica Neue"/>
          <w:sz w:val="29"/>
          <w:sz-cs w:val="29"/>
          <w:spacing w:val="0"/>
          <w:color w:val="161A26"/>
        </w:rPr>
        <w:t xml:space="preserve">Fachlicher Hintergrund: Verteiltes und abrufendes Üben gehört zu den wenigen Lernstrategien mit hoher Wirksamkeitsevidenz (Dunlosky et al., 2013). Damit Abrufübung wirkt, muss sie allerdings den Fachinhalt betreffen. Die Distraktoren folgen den Konstruktionsregeln von Haladyna und Rodriguez (2013): parallele Länge und Struktur, plausible Fehlkonzepte, genau eine eindeutig richtige Antwort.</w:t>
      </w:r>
    </w:p>
    <w:p>
      <w:pPr>
        <w:spacing w:after="333"/>
      </w:pPr>
      <w:r>
        <w:rPr>
          <w:rFonts w:ascii="Helvetica Neue" w:hAnsi="Helvetica Neue" w:cs="Helvetica Neue"/>
          <w:sz w:val="33"/>
          <w:sz-cs w:val="33"/>
          <w:b/>
          <w:spacing w:val="0"/>
          <w:color w:val="161A26"/>
        </w:rPr>
        <w:t xml:space="preserve">2. Das Interaktive Proseminar war im Spiel ein KI-Modul — im Katalog ist es keines</w:t>
      </w:r>
    </w:p>
    <w:p>
      <w:pPr>
        <w:spacing w:after="293"/>
      </w:pPr>
      <w:r>
        <w:rPr>
          <w:rFonts w:ascii="Helvetica Neue" w:hAnsi="Helvetica Neue" w:cs="Helvetica Neue"/>
          <w:sz w:val="29"/>
          <w:sz-cs w:val="29"/>
          <w:spacing w:val="0"/>
          <w:color w:val="161A26"/>
        </w:rPr>
        <w:t xml:space="preserve">Der geltende Modulkatalog erwähnt zum IPS künstliche Intelligenz </w:t>
      </w:r>
      <w:r>
        <w:rPr>
          <w:rFonts w:ascii="Helvetica Neue" w:hAnsi="Helvetica Neue" w:cs="Helvetica Neue"/>
          <w:sz w:val="29"/>
          <w:sz-cs w:val="29"/>
          <w:b/>
          <w:spacing w:val="0"/>
          <w:color w:val="161A26"/>
        </w:rPr>
        <w:t xml:space="preserve">an keiner Stelle</w:t>
      </w:r>
      <w:r>
        <w:rPr>
          <w:rFonts w:ascii="Helvetica Neue" w:hAnsi="Helvetica Neue" w:cs="Helvetica Neue"/>
          <w:sz w:val="29"/>
          <w:sz-cs w:val="29"/>
          <w:spacing w:val="0"/>
          <w:color w:val="161A26"/>
        </w:rPr>
        <w:t xml:space="preserve">. Das Spiel hatte daraus faktisch ein KI-Einführungsmodul gemacht. Das ist inhaltlich falsch und hätte gegenüber Studierenden eine Erwartung erzeugt, die das Modul nicht einlöst.</w:t>
      </w:r>
    </w:p>
    <w:p>
      <w:pPr>
        <w:spacing w:after="293"/>
      </w:pPr>
      <w:r>
        <w:rPr>
          <w:rFonts w:ascii="Helvetica Neue" w:hAnsi="Helvetica Neue" w:cs="Helvetica Neue"/>
          <w:sz w:val="29"/>
          <w:sz-cs w:val="29"/>
          <w:spacing w:val="0"/>
          <w:color w:val="161A26"/>
        </w:rPr>
        <w:t xml:space="preserve">Neu steht der Studieneinstieg wieder an erster Stelle — wissenschaftliches Arbeiten, Lesen und Präsentieren von Fachliteratur, Aufbau eines sozialen Netzes im Studium —, und der Umgang mit KI ist einer von vier Bausteinen. Modultext, Lernziele, Quest, Kompetenzzuordnung und Quizfragen wurden entsprechend nachgeführt.</w:t>
      </w:r>
    </w:p>
    <w:p>
      <w:pPr>
        <w:spacing w:after="333"/>
      </w:pPr>
      <w:r>
        <w:rPr>
          <w:rFonts w:ascii="Helvetica Neue" w:hAnsi="Helvetica Neue" w:cs="Helvetica Neue"/>
          <w:sz w:val="33"/>
          <w:sz-cs w:val="33"/>
          <w:b/>
          <w:spacing w:val="0"/>
          <w:color w:val="161A26"/>
        </w:rPr>
        <w:t xml:space="preserve">3. Der Kompetenzpass gab die abgeschaffte Studienordnung aus</w:t>
      </w:r>
    </w:p>
    <w:p>
      <w:pPr>
        <w:spacing w:after="293"/>
      </w:pPr>
      <w:r>
        <w:rPr>
          <w:rFonts w:ascii="Helvetica Neue" w:hAnsi="Helvetica Neue" w:cs="Helvetica Neue"/>
          <w:sz w:val="29"/>
          <w:sz-cs w:val="29"/>
          <w:spacing w:val="0"/>
          <w:color w:val="161A26"/>
        </w:rPr>
        <w:t xml:space="preserve">Studierende können aus dem Spiel einen Kompetenzpass als PDF erzeugen — mit «Ich kann …»-Sätzen, die sich für Bewerbungsunterlagen eignen. Zwei Fehler waren darin:</w:t>
      </w:r>
    </w:p>
    <w:p>
      <w:pPr>
        <w:ind w:left="720" w:first-line="-720"/>
      </w:pPr>
      <w:r>
        <w:rPr>
          <w:rFonts w:ascii="Helvetica Neue" w:hAnsi="Helvetica Neue" w:cs="Helvetica Neue"/>
          <w:sz w:val="29"/>
          <w:sz-cs w:val="29"/>
          <w:color w:val="161A26"/>
        </w:rPr>
        <w:t xml:space="preserve"/>
        <w:tab/>
        <w:t xml:space="preserve">•</w:t>
        <w:tab/>
        <w:t xml:space="preserve"/>
      </w:r>
      <w:r>
        <w:rPr>
          <w:rFonts w:ascii="Helvetica Neue" w:hAnsi="Helvetica Neue" w:cs="Helvetica Neue"/>
          <w:sz w:val="29"/>
          <w:sz-cs w:val="29"/>
          <w:spacing w:val="0"/>
          <w:color w:val="161A26"/>
        </w:rPr>
        <w:t xml:space="preserve">Die Sätze zu Bachelor- und Masterarbeit beschrieben noch die </w:t>
      </w:r>
      <w:r>
        <w:rPr>
          <w:rFonts w:ascii="Helvetica Neue" w:hAnsi="Helvetica Neue" w:cs="Helvetica Neue"/>
          <w:sz w:val="29"/>
          <w:sz-cs w:val="29"/>
          <w:b/>
          <w:spacing w:val="0"/>
          <w:color w:val="161A26"/>
        </w:rPr>
        <w:t xml:space="preserve">frühere Form der Abschlussarbeit</w:t>
      </w:r>
      <w:r>
        <w:rPr>
          <w:rFonts w:ascii="Helvetica Neue" w:hAnsi="Helvetica Neue" w:cs="Helvetica Neue"/>
          <w:sz w:val="29"/>
          <w:sz-cs w:val="29"/>
          <w:spacing w:val="0"/>
          <w:color w:val="161A26"/>
        </w:rPr>
        <w:t xml:space="preserve">, obwohl die Neugestaltung (empirisch-methodische Arbeit mit Prozessanhang und mündlicher Prüfung) im Spiel längst umgesetzt war.</w:t>
      </w:r>
    </w:p>
    <w:p>
      <w:pPr>
        <w:ind w:left="720" w:first-line="-720"/>
      </w:pPr>
      <w:r>
        <w:rPr>
          <w:rFonts w:ascii="Helvetica Neue" w:hAnsi="Helvetica Neue" w:cs="Helvetica Neue"/>
          <w:sz w:val="29"/>
          <w:sz-cs w:val="29"/>
          <w:color w:val="161A26"/>
        </w:rPr>
        <w:t xml:space="preserve"/>
        <w:tab/>
        <w:t xml:space="preserve">•</w:t>
        <w:tab/>
        <w:t xml:space="preserve"/>
      </w:r>
      <w:r>
        <w:rPr>
          <w:rFonts w:ascii="Helvetica Neue" w:hAnsi="Helvetica Neue" w:cs="Helvetica Neue"/>
          <w:sz w:val="29"/>
          <w:sz-cs w:val="29"/>
          <w:spacing w:val="0"/>
          <w:color w:val="161A26"/>
        </w:rPr>
        <w:t xml:space="preserve">Ein Kolloquium von zwei ECTS konnte eine Kompetenz auf die höchste Progressionsstufe heben. Studierende hätten damit in ihrem Lebenslauf Stufen behauptet, die sie nicht erworben haben. Neu wird eine Stufe erst erreicht, wenn mindestens 40 Prozent des auf dieser Stufe verfügbaren Umfangs auch tatsächlich gebaut ist.</w:t>
      </w:r>
    </w:p>
    <w:p>
      <w:pPr>
        <w:spacing w:after="293"/>
      </w:pPr>
      <w:r>
        <w:rPr>
          <w:rFonts w:ascii="Helvetica Neue" w:hAnsi="Helvetica Neue" w:cs="Helvetica Neue"/>
          <w:sz w:val="29"/>
          <w:sz-cs w:val="29"/>
          <w:spacing w:val="0"/>
          <w:color w:val="161A26"/>
        </w:rPr>
        <w:t xml:space="preserve">Ausserdem wurden elf fehlerhafte Kompetenzzuordnungen korrigiert, unter anderem in den Modulen 001, 002, 100, 302, 402, 501, 502 und 600.</w:t>
      </w:r>
    </w:p>
    <w:p>
      <w:pPr>
        <w:spacing w:after="333"/>
      </w:pPr>
      <w:r>
        <w:rPr>
          <w:rFonts w:ascii="Helvetica Neue" w:hAnsi="Helvetica Neue" w:cs="Helvetica Neue"/>
          <w:sz w:val="33"/>
          <w:sz-cs w:val="33"/>
          <w:b/>
          <w:spacing w:val="0"/>
          <w:color w:val="161A26"/>
        </w:rPr>
        <w:t xml:space="preserve">4. Die Karriere-Passung reagierte nicht auf die Studienwahl</w:t>
      </w:r>
    </w:p>
    <w:p>
      <w:pPr>
        <w:spacing w:after="293"/>
      </w:pPr>
      <w:r>
        <w:rPr>
          <w:rFonts w:ascii="Helvetica Neue" w:hAnsi="Helvetica Neue" w:cs="Helvetica Neue"/>
          <w:sz w:val="29"/>
          <w:sz-cs w:val="29"/>
          <w:spacing w:val="0"/>
          <w:color w:val="161A26"/>
        </w:rPr>
        <w:t xml:space="preserve">Das Spiel zeigt, wie gut das eigene Kompetenzprofil zu Berufsfeldern passt. Eine Prüfung ergab, dass diese «Passung» rechnerisch identisch war mit dem Studienfortschritt: Sie stieg für alle Wege gleichzeitig und stand bei Vollausbau überall gleich hoch. </w:t>
      </w:r>
      <w:r>
        <w:rPr>
          <w:rFonts w:ascii="Helvetica Neue" w:hAnsi="Helvetica Neue" w:cs="Helvetica Neue"/>
          <w:sz w:val="29"/>
          <w:sz-cs w:val="29"/>
          <w:b/>
          <w:spacing w:val="0"/>
          <w:color w:val="161A26"/>
        </w:rPr>
        <w:t xml:space="preserve">Wahlentscheidungen bewegten sie um null Prozentpunkte.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Das ist für ein Instrument, dessen zentrale Botschaft «deine Wahl macht einen Unterschied» lautet, ein Konstruktionsfehler. Behoben durch drei Eingriffe: Kompetenzen, die man ausschliesslich über eine Wahl erwirbt, zählen nun als Hauptkompetenzen; der Nenner der Berechnung ist fix statt wahlabhängig; und die Passung setzt sich zu 62 Prozent aus der Übereinstimmung der Wahlentscheidungen und zu 38 Prozent aus der Korrelation der Kompetenzprofile zusammen.</w:t>
      </w:r>
    </w:p>
    <w:p>
      <w:pPr>
        <w:spacing w:after="293"/>
      </w:pPr>
      <w:r>
        <w:rPr>
          <w:rFonts w:ascii="Helvetica Neue" w:hAnsi="Helvetica Neue" w:cs="Helvetica Neue"/>
          <w:sz w:val="29"/>
          <w:sz-cs w:val="29"/>
          <w:spacing w:val="0"/>
          <w:color w:val="161A26"/>
        </w:rPr>
        <w:t xml:space="preserve">Das Ergebnis ist nun trennscharf:</w:t>
      </w:r>
    </w:p>
    <w:p>
      <w:pPr/>
      <w:r>
        <w:rPr>
          <w:rFonts w:ascii="Helvetica Neue" w:hAnsi="Helvetica Neue" w:cs="Helvetica Neue"/>
          <w:sz w:val="26"/>
          <w:sz-cs w:val="26"/>
          <w:b/>
          <w:spacing w:val="0"/>
          <w:color w:val="161A26"/>
        </w:rPr>
        <w:t xml:space="preserve">Studienprofil</w:t>
      </w:r>
    </w:p>
    <w:p>
      <w:pPr/>
      <w:r>
        <w:rPr>
          <w:rFonts w:ascii="Helvetica Neue" w:hAnsi="Helvetica Neue" w:cs="Helvetica Neue"/>
          <w:sz w:val="26"/>
          <w:sz-cs w:val="26"/>
          <w:b/>
          <w:spacing w:val="0"/>
          <w:color w:val="161A26"/>
        </w:rPr>
        <w:t xml:space="preserve">Beste drei Wege</w:t>
      </w:r>
    </w:p>
    <w:p>
      <w:pPr/>
      <w:r>
        <w:rPr>
          <w:rFonts w:ascii="Helvetica Neue" w:hAnsi="Helvetica Neue" w:cs="Helvetica Neue"/>
          <w:sz w:val="26"/>
          <w:sz-cs w:val="26"/>
          <w:b/>
          <w:spacing w:val="0"/>
          <w:color w:val="161A26"/>
        </w:rPr>
        <w:t xml:space="preserve">Schwächster Weg</w:t>
      </w:r>
    </w:p>
    <w:p>
      <w:pPr/>
      <w:r>
        <w:rPr>
          <w:rFonts w:ascii="Helvetica Neue" w:hAnsi="Helvetica Neue" w:cs="Helvetica Neue"/>
          <w:sz w:val="26"/>
          <w:sz-cs w:val="26"/>
          <w:spacing w:val="0"/>
          <w:color w:val="161A26"/>
        </w:rPr>
        <w:t xml:space="preserve">Klinisch (HEA, klinische Themen)</w:t>
      </w:r>
    </w:p>
    <w:p>
      <w:pPr/>
      <w:r>
        <w:rPr>
          <w:rFonts w:ascii="Helvetica Neue" w:hAnsi="Helvetica Neue" w:cs="Helvetica Neue"/>
          <w:sz w:val="26"/>
          <w:sz-cs w:val="26"/>
          <w:spacing w:val="0"/>
          <w:color w:val="161A26"/>
        </w:rPr>
        <w:t xml:space="preserve">Psychotherapie 84 %, Klinische Psychologie 83 %, Gesundheitsförderung 81 %</w:t>
      </w:r>
    </w:p>
    <w:p>
      <w:pPr/>
      <w:r>
        <w:rPr>
          <w:rFonts w:ascii="Helvetica Neue" w:hAnsi="Helvetica Neue" w:cs="Helvetica Neue"/>
          <w:sz w:val="26"/>
          <w:sz-cs w:val="26"/>
          <w:spacing w:val="0"/>
          <w:color w:val="161A26"/>
        </w:rPr>
        <w:t xml:space="preserve">Neuropsychologie 14 %</w:t>
      </w:r>
    </w:p>
    <w:p>
      <w:pPr/>
      <w:r>
        <w:rPr>
          <w:rFonts w:ascii="Helvetica Neue" w:hAnsi="Helvetica Neue" w:cs="Helvetica Neue"/>
          <w:sz w:val="26"/>
          <w:sz-cs w:val="26"/>
          <w:spacing w:val="0"/>
          <w:color w:val="161A26"/>
        </w:rPr>
        <w:t xml:space="preserve">Wirtschaftlich (SEOP)</w:t>
      </w:r>
    </w:p>
    <w:p>
      <w:pPr/>
      <w:r>
        <w:rPr>
          <w:rFonts w:ascii="Helvetica Neue" w:hAnsi="Helvetica Neue" w:cs="Helvetica Neue"/>
          <w:sz w:val="26"/>
          <w:sz-cs w:val="26"/>
          <w:spacing w:val="0"/>
          <w:color w:val="161A26"/>
        </w:rPr>
        <w:t xml:space="preserve">Laufbahnberatung 81 %, Arbeits- &amp; Organisationspsychologie 68 %, Gymnasium 67 %</w:t>
      </w:r>
    </w:p>
    <w:p>
      <w:pPr/>
      <w:r>
        <w:rPr>
          <w:rFonts w:ascii="Helvetica Neue" w:hAnsi="Helvetica Neue" w:cs="Helvetica Neue"/>
          <w:sz w:val="26"/>
          <w:sz-cs w:val="26"/>
          <w:spacing w:val="0"/>
          <w:color w:val="161A26"/>
        </w:rPr>
        <w:t xml:space="preserve">Neuropsychologie 6 %</w:t>
      </w:r>
    </w:p>
    <w:p>
      <w:pPr/>
      <w:r>
        <w:rPr>
          <w:rFonts w:ascii="Helvetica Neue" w:hAnsi="Helvetica Neue" w:cs="Helvetica Neue"/>
          <w:sz w:val="26"/>
          <w:sz-cs w:val="26"/>
          <w:spacing w:val="0"/>
          <w:color w:val="161A26"/>
        </w:rPr>
        <w:t xml:space="preserve">Neurokognitiv (DeNC)</w:t>
      </w:r>
    </w:p>
    <w:p>
      <w:pPr/>
      <w:r>
        <w:rPr>
          <w:rFonts w:ascii="Helvetica Neue" w:hAnsi="Helvetica Neue" w:cs="Helvetica Neue"/>
          <w:sz w:val="26"/>
          <w:sz-cs w:val="26"/>
          <w:spacing w:val="0"/>
          <w:color w:val="161A26"/>
        </w:rPr>
        <w:t xml:space="preserve">Promotion 79 %, Neuropsychologie 75 %, Nutzerpsychologie 73 %</w:t>
      </w:r>
    </w:p>
    <w:p>
      <w:pPr/>
      <w:r>
        <w:rPr>
          <w:rFonts w:ascii="Helvetica Neue" w:hAnsi="Helvetica Neue" w:cs="Helvetica Neue"/>
          <w:sz w:val="26"/>
          <w:sz-cs w:val="26"/>
          <w:spacing w:val="0"/>
          <w:color w:val="161A26"/>
        </w:rPr>
        <w:t xml:space="preserve">Klinische Psychologie 9 %</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Neu: zwölf Berufswege mit realistischem Stellenprofil</w:t>
      </w:r>
    </w:p>
    <w:p>
      <w:pPr>
        <w:spacing w:after="293"/>
      </w:pPr>
      <w:r>
        <w:rPr>
          <w:rFonts w:ascii="Helvetica Neue" w:hAnsi="Helvetica Neue" w:cs="Helvetica Neue"/>
          <w:sz w:val="29"/>
          <w:sz-cs w:val="29"/>
          <w:spacing w:val="0"/>
          <w:color w:val="161A26"/>
        </w:rPr>
        <w:t xml:space="preserve">Die Berufswege wurden systematisch aus den Fachbereichen des Studiums neu abgeleitet — nicht aus Vermutungen über einen «Arbeitsmarkt der Zukunft». Drei Wege kamen hinzu, die aus Fachbereichen erwachsen, die bisher nicht abgebildet waren: Gesundheitsförderung und Prävention, Berufs-, Studien- und Laufbahnberatung sowie Markt- und Konsumentenpsychologie. Ein technikgetriebener Weg («Data, Tech &amp; UX») wurde gestrichen und durch Nutzer- und Medienpsychologie ersetzt, die psychologisch statt technologisch begründet ist.</w:t>
      </w:r>
    </w:p>
    <w:p>
      <w:pPr>
        <w:spacing w:after="293"/>
      </w:pPr>
      <w:r>
        <w:rPr>
          <w:rFonts w:ascii="Helvetica Neue" w:hAnsi="Helvetica Neue" w:cs="Helvetica Neue"/>
          <w:sz w:val="29"/>
          <w:sz-cs w:val="29"/>
          <w:b/>
          <w:spacing w:val="0"/>
          <w:color w:val="161A26"/>
        </w:rPr>
        <w:t xml:space="preserve">Genau ein Weg von zwölf ist akademisch</w:t>
      </w:r>
      <w:r>
        <w:rPr>
          <w:rFonts w:ascii="Helvetica Neue" w:hAnsi="Helvetica Neue" w:cs="Helvetica Neue"/>
          <w:sz w:val="29"/>
          <w:sz-cs w:val="29"/>
          <w:spacing w:val="0"/>
          <w:color w:val="161A26"/>
        </w:rPr>
        <w:t xml:space="preserve"> (Promotion und Postdoc). Die anderen elf sind Praxisberufe.</w:t>
      </w:r>
    </w:p>
    <w:p>
      <w:pPr>
        <w:spacing w:after="293"/>
      </w:pPr>
      <w:r>
        <w:rPr>
          <w:rFonts w:ascii="Helvetica Neue" w:hAnsi="Helvetica Neue" w:cs="Helvetica Neue"/>
          <w:sz w:val="29"/>
          <w:sz-cs w:val="29"/>
          <w:spacing w:val="0"/>
          <w:color w:val="161A26"/>
        </w:rPr>
        <w:t xml:space="preserve">Jeder Weg trägt jetzt ein recherchiertes Stellenprofil: die Bezeichnung, unter der die Einstiegsstelle in der Schweiz tatsächlich ausgeschrieben wird, das typische Pensum, die Arbeitgebertypen mit belegten Beispielen, je vier Kernaufgaben und vier Anforderungen aus realen Ausschreibungen, der Einstiegslohn und der Zeitpunkt, ab dem die Stelle erreichbar ist.</w:t>
      </w:r>
    </w:p>
    <w:p>
      <w:pPr>
        <w:spacing w:after="293"/>
      </w:pPr>
      <w:r>
        <w:rPr>
          <w:rFonts w:ascii="Helvetica Neue" w:hAnsi="Helvetica Neue" w:cs="Helvetica Neue"/>
          <w:sz w:val="29"/>
          <w:sz-cs w:val="29"/>
          <w:spacing w:val="0"/>
          <w:color w:val="161A26"/>
        </w:rPr>
        <w:t xml:space="preserve">Vier Befunde daraus verdienen die Aufmerksamkeit der Programmleitung:</w:t>
      </w:r>
    </w:p>
    <w:p>
      <w:pPr>
        <w:spacing w:after="293"/>
      </w:pPr>
      <w:r>
        <w:rPr>
          <w:rFonts w:ascii="Helvetica Neue" w:hAnsi="Helvetica Neue" w:cs="Helvetica Neue"/>
          <w:sz w:val="29"/>
          <w:sz-cs w:val="29"/>
          <w:b/>
          <w:spacing w:val="0"/>
          <w:color w:val="161A26"/>
        </w:rPr>
        <w:t xml:space="preserve">Der Master ist in den meisten Feldern die Eintrittskarte in eine Weiterbildung, nicht in den Beruf.</w:t>
      </w:r>
      <w:r>
        <w:rPr>
          <w:rFonts w:ascii="Helvetica Neue" w:hAnsi="Helvetica Neue" w:cs="Helvetica Neue"/>
          <w:sz w:val="29"/>
          <w:sz-cs w:val="29"/>
          <w:spacing w:val="0"/>
          <w:color w:val="161A26"/>
        </w:rPr>
        <w:t xml:space="preserve"> Nur in der klinischen Psychologie ohne Therapietitel, in der Promotion, in der Arbeits- und Organisationspsychologie und in der Marktforschung ist ein unmittelbarer Vollzugang die Regel. Überall sonst folgt eine postgraduale Weiterbildung von zwei bis sechs Jahren, die die Absolvierenden selbst finanzieren — beim Psychotherapietitel CHF 25 000 bis 48 750.</w:t>
      </w:r>
    </w:p>
    <w:p>
      <w:pPr>
        <w:spacing w:after="293"/>
      </w:pPr>
      <w:r>
        <w:rPr>
          <w:rFonts w:ascii="Helvetica Neue" w:hAnsi="Helvetica Neue" w:cs="Helvetica Neue"/>
          <w:sz w:val="29"/>
          <w:sz-cs w:val="29"/>
          <w:b/>
          <w:spacing w:val="0"/>
          <w:color w:val="161A26"/>
        </w:rPr>
        <w:t xml:space="preserve">Der Lohnabstand ist grösser, als Studierende erwarten.</w:t>
      </w:r>
      <w:r>
        <w:rPr>
          <w:rFonts w:ascii="Helvetica Neue" w:hAnsi="Helvetica Neue" w:cs="Helvetica Neue"/>
          <w:sz w:val="29"/>
          <w:sz-cs w:val="29"/>
          <w:spacing w:val="0"/>
          <w:color w:val="161A26"/>
        </w:rPr>
        <w:t xml:space="preserve"> Die Promotion ist mit CHF 50 504 bei 80 Prozent im ersten Jahr der tiefste Einstieg im ganzen Set — gemeinsam mit UX-Research, was gegen dessen Ruf als lukrativer Ausstieg spricht. Am oberen Ende steht das Gymnasiallehramt: mit Lehrdiplom Lohnklasse 21, Stufe 3, also CHF 120 775 bei vollem Pensum. Beide oberen Felder sind allerdings von hohen Teilzeitanteilen geprägt — das Gymnasium rechnet ohnehin in Pflichtlektionen (23 pro Woche als Vollpensum), und für Einsteigende sind 40 bis 70 Prozent realistisch.</w:t>
      </w:r>
    </w:p>
    <w:p>
      <w:pPr>
        <w:spacing w:after="293"/>
      </w:pPr>
      <w:r>
        <w:rPr>
          <w:rFonts w:ascii="Helvetica Neue" w:hAnsi="Helvetica Neue" w:cs="Helvetica Neue"/>
          <w:sz w:val="29"/>
          <w:sz-cs w:val="29"/>
          <w:b/>
          <w:spacing w:val="0"/>
          <w:color w:val="161A26"/>
        </w:rPr>
        <w:t xml:space="preserve">Zwei Titelwege sind derzeit blockiert oder unsicher.</w:t>
      </w:r>
      <w:r>
        <w:rPr>
          <w:rFonts w:ascii="Helvetica Neue" w:hAnsi="Helvetica Neue" w:cs="Helvetica Neue"/>
          <w:sz w:val="29"/>
          <w:sz-cs w:val="29"/>
          <w:spacing w:val="0"/>
          <w:color w:val="161A26"/>
        </w:rPr>
        <w:t xml:space="preserve"> Der MAS Gesundheitspsychologie der Universität Bern führt erst «nach geplanter Akkreditierung» zum eidgenössischen Fachtitel — die Akkreditierung ist nicht abgeschlossen. Und die Schweizerische Gesellschaft für Rechtspsychologie hat für ihr Fachtitel-Curriculum einen </w:t>
      </w:r>
      <w:r>
        <w:rPr>
          <w:rFonts w:ascii="Helvetica Neue" w:hAnsi="Helvetica Neue" w:cs="Helvetica Neue"/>
          <w:sz w:val="29"/>
          <w:sz-cs w:val="29"/>
          <w:b/>
          <w:spacing w:val="0"/>
          <w:color w:val="161A26"/>
        </w:rPr>
        <w:t xml:space="preserve">Aufnahmestopp</w:t>
      </w:r>
      <w:r>
        <w:rPr>
          <w:rFonts w:ascii="Helvetica Neue" w:hAnsi="Helvetica Neue" w:cs="Helvetica Neue"/>
          <w:sz w:val="29"/>
          <w:sz-cs w:val="29"/>
          <w:spacing w:val="0"/>
          <w:color w:val="161A26"/>
        </w:rPr>
        <w:t xml:space="preserve"> verfügt und prüft die Zukunft des Titels. Beides steht als Warnung in den betreffenden Wegen.</w:t>
      </w:r>
    </w:p>
    <w:p>
      <w:pPr>
        <w:spacing w:after="293"/>
      </w:pPr>
      <w:r>
        <w:rPr>
          <w:rFonts w:ascii="Helvetica Neue" w:hAnsi="Helvetica Neue" w:cs="Helvetica Neue"/>
          <w:sz w:val="29"/>
          <w:sz-cs w:val="29"/>
          <w:b/>
          <w:spacing w:val="0"/>
          <w:color w:val="161A26"/>
        </w:rPr>
        <w:t xml:space="preserve">Wo keine Zahl publiziert ist, steht das im Spiel.</w:t>
      </w:r>
      <w:r>
        <w:rPr>
          <w:rFonts w:ascii="Helvetica Neue" w:hAnsi="Helvetica Neue" w:cs="Helvetica Neue"/>
          <w:sz w:val="29"/>
          <w:sz-cs w:val="29"/>
          <w:spacing w:val="0"/>
          <w:color w:val="161A26"/>
        </w:rPr>
        <w:t xml:space="preserve"> Für Gesundheitspsychologie, Rechtspsychologie, Schulpsychologie und UX-Research existiert kein amtlich belegter Schweizer Einstiegslohn. Statt zu schätzen, weist das Spiel die Belegqualität jeder Lohnangabe aus — gut belegt, mittel belegt oder nicht spezifisch belegbar — und nennt die Quelle.</w:t>
      </w:r>
    </w:p>
    <w:p>
      <w:pPr>
        <w:spacing w:after="293"/>
      </w:pPr>
      <w:r>
        <w:rPr>
          <w:rFonts w:ascii="Helvetica Neue" w:hAnsi="Helvetica Neue" w:cs="Helvetica Neue"/>
          <w:sz w:val="29"/>
          <w:sz-cs w:val="29"/>
          <w:b/>
          <w:spacing w:val="0"/>
          <w:color w:val="161A26"/>
        </w:rPr>
        <w:t xml:space="preserve">Die Angaben wurden gegen sich selbst geprüft.</w:t>
      </w:r>
      <w:r>
        <w:rPr>
          <w:rFonts w:ascii="Helvetica Neue" w:hAnsi="Helvetica Neue" w:cs="Helvetica Neue"/>
          <w:sz w:val="29"/>
          <w:sz-cs w:val="29"/>
          <w:spacing w:val="0"/>
          <w:color w:val="161A26"/>
        </w:rPr>
        <w:t xml:space="preserve"> Sechs unabhängige Prüfinstanzen mit dem ausdrücklichen Auftrag, die Behauptungen zu </w:t>
      </w:r>
      <w:r>
        <w:rPr>
          <w:rFonts w:ascii="Helvetica Neue" w:hAnsi="Helvetica Neue" w:cs="Helvetica Neue"/>
          <w:sz w:val="29"/>
          <w:sz-cs w:val="29"/>
          <w:i/>
          <w:spacing w:val="0"/>
          <w:color w:val="161A26"/>
        </w:rPr>
        <w:t xml:space="preserve">widerlegen</w:t>
      </w:r>
      <w:r>
        <w:rPr>
          <w:rFonts w:ascii="Helvetica Neue" w:hAnsi="Helvetica Neue" w:cs="Helvetica Neue"/>
          <w:sz w:val="29"/>
          <w:sz-cs w:val="29"/>
          <w:spacing w:val="0"/>
          <w:color w:val="161A26"/>
        </w:rPr>
        <w:t xml:space="preserve">, haben 45 Teilaussagen gegen Primärquellen gehalten: 32 wurden bestätigt, 13 mussten präzisiert werden, keine war schlicht falsch. Die gewichtigste Korrektur betraf das Gymnasiallehramt — die zunächst verwendete Lohnklasse 20 gilt für Hochschulabsolvierende </w:t>
      </w:r>
      <w:r>
        <w:rPr>
          <w:rFonts w:ascii="Helvetica Neue" w:hAnsi="Helvetica Neue" w:cs="Helvetica Neue"/>
          <w:sz w:val="29"/>
          <w:sz-cs w:val="29"/>
          <w:i/>
          <w:spacing w:val="0"/>
          <w:color w:val="161A26"/>
        </w:rPr>
        <w:t xml:space="preserve">ohne</w:t>
      </w:r>
      <w:r>
        <w:rPr>
          <w:rFonts w:ascii="Helvetica Neue" w:hAnsi="Helvetica Neue" w:cs="Helvetica Neue"/>
          <w:sz w:val="29"/>
          <w:sz-cs w:val="29"/>
          <w:spacing w:val="0"/>
          <w:color w:val="161A26"/>
        </w:rPr>
        <w:t xml:space="preserve"> Lehrdiplom, und die Zahl stammte aus der Tabelle von 2023. Ebenfalls präzisiert: Der eidgenössische Titel im Feld Schule heisst EA KJP, der MAS ist ein zusätzlicher akademischer Titel derselben Weiterbildung; der MAS Gesundheitspsychologie wird gemeinsam von UZH und Universität Bern getragen; und die genannten Weiterbildungskosten enthalten die obligatorische Supervision durchweg nicht. Das vollständige Korrekturprotokoll steht im Anhang der Recherchegrundlage.</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Was Studierende künftig als Dokument mitnehmen</w:t>
      </w:r>
    </w:p>
    <w:p>
      <w:pPr>
        <w:spacing w:after="293"/>
      </w:pPr>
      <w:r>
        <w:rPr>
          <w:rFonts w:ascii="Helvetica Neue" w:hAnsi="Helvetica Neue" w:cs="Helvetica Neue"/>
          <w:sz w:val="29"/>
          <w:sz-cs w:val="29"/>
          <w:spacing w:val="0"/>
          <w:color w:val="161A26"/>
        </w:rPr>
        <w:t xml:space="preserve">Der Kompetenzpass hat eine dritte Seite bekommen: einen </w:t>
      </w:r>
      <w:r>
        <w:rPr>
          <w:rFonts w:ascii="Helvetica Neue" w:hAnsi="Helvetica Neue" w:cs="Helvetica Neue"/>
          <w:sz w:val="29"/>
          <w:sz-cs w:val="29"/>
          <w:b/>
          <w:spacing w:val="0"/>
          <w:color w:val="161A26"/>
        </w:rPr>
        <w:t xml:space="preserve">Karrieresteckbrief</w:t>
      </w:r>
      <w:r>
        <w:rPr>
          <w:rFonts w:ascii="Helvetica Neue" w:hAnsi="Helvetica Neue" w:cs="Helvetica Neue"/>
          <w:sz w:val="29"/>
          <w:sz-cs w:val="29"/>
          <w:spacing w:val="0"/>
          <w:color w:val="161A26"/>
        </w:rPr>
        <w:t xml:space="preserve">, der je nach Studienwahl anders ausfällt. Er enthält die getroffenen Wahlentscheidungen, den bestpassenden Weg mit vollständigem Stellenprofil, die noch fehlenden Kompetenzstufen, den Weg nach dem Master, zwei Alternativen und die Quellenlage mit Rechtsstand nach dem Psychologieberufegesetz.</w:t>
      </w:r>
    </w:p>
    <w:p>
      <w:pPr>
        <w:spacing w:after="293"/>
      </w:pPr>
      <w:r>
        <w:rPr>
          <w:rFonts w:ascii="Helvetica Neue" w:hAnsi="Helvetica Neue" w:cs="Helvetica Neue"/>
          <w:sz w:val="29"/>
          <w:sz-cs w:val="29"/>
          <w:spacing w:val="0"/>
          <w:color w:val="161A26"/>
        </w:rPr>
        <w:t xml:space="preserve">Damit hat das Spiel drei Ausgaben, die über das Spielen hinaus Bestand haben: das Kompetenzprofil mit Progressionsstufen, die «Ich kann …»-Sätze als Bewerbungsbausteine und den Karrieresteckbrief.</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Bedienung und Zugänglichkeit</w:t>
      </w:r>
    </w:p>
    <w:p>
      <w:pPr>
        <w:spacing w:after="293"/>
      </w:pPr>
      <w:r>
        <w:rPr>
          <w:rFonts w:ascii="Helvetica Neue" w:hAnsi="Helvetica Neue" w:cs="Helvetica Neue"/>
          <w:sz w:val="29"/>
          <w:sz-cs w:val="29"/>
          <w:spacing w:val="0"/>
          <w:color w:val="161A26"/>
        </w:rPr>
        <w:t xml:space="preserve">Die Modulkarte, in der Lernziele, Prüfungslogik und Quests stehen, war zu klein: Auf flachen Bildschirmen blieben dem Text nach Abzug von Kopfzeile, Reitern, Rückmeldezeile und Aktionsleiste nur wenige Pixel. Sie ist jetzt in drei Stufen aufziehbar — über einen Ziehgriff, einen Knopf, Doppelklick auf den Titel oder die Pfeiltasten. Der Lesebereich wuchs von rund 160 auf 385 Pixel am Rechner und auf 331 Pixel am Mobilgerät. Ein Verlauf am unteren Rand zeigt an, wenn noch Text folgt.</w:t>
      </w:r>
    </w:p>
    <w:p>
      <w:pPr>
        <w:spacing w:after="293"/>
      </w:pPr>
      <w:r>
        <w:rPr>
          <w:rFonts w:ascii="Helvetica Neue" w:hAnsi="Helvetica Neue" w:cs="Helvetica Neue"/>
          <w:sz w:val="29"/>
          <w:sz-cs w:val="29"/>
          <w:spacing w:val="0"/>
          <w:color w:val="161A26"/>
        </w:rPr>
        <w:t xml:space="preserve">Ergänzend: Tippflächen von mindestens 40 Pixeln auch auf schmalen Fenstern, Berücksichtigung der Systemeinstellung für reduzierte Bewegung, angehobene Textkontraste. Ein Fehler, bei dem der Besuchermodus den eigenen Spielstand überschreiben konnte, ist behoben.</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Was das für die Programmarbeit bedeutet</w:t>
      </w:r>
    </w:p>
    <w:p>
      <w:pPr>
        <w:spacing w:after="293"/>
      </w:pPr>
      <w:r>
        <w:rPr>
          <w:rFonts w:ascii="Helvetica Neue" w:hAnsi="Helvetica Neue" w:cs="Helvetica Neue"/>
          <w:sz w:val="29"/>
          <w:sz-cs w:val="29"/>
          <w:spacing w:val="0"/>
          <w:color w:val="161A26"/>
        </w:rPr>
        <w:t xml:space="preserve">Drei Punkte, bei denen das Spiel auf Entscheidungen der Programmleitung trifft:</w:t>
      </w:r>
    </w:p>
    <w:p>
      <w:pPr>
        <w:spacing w:after="293"/>
      </w:pPr>
      <w:r>
        <w:rPr>
          <w:rFonts w:ascii="Helvetica Neue" w:hAnsi="Helvetica Neue" w:cs="Helvetica Neue"/>
          <w:sz w:val="29"/>
          <w:sz-cs w:val="29"/>
          <w:b/>
          <w:spacing w:val="0"/>
          <w:color w:val="161A26"/>
        </w:rPr>
        <w:t xml:space="preserve">Das Interaktive Proseminar.</w:t>
      </w:r>
      <w:r>
        <w:rPr>
          <w:rFonts w:ascii="Helvetica Neue" w:hAnsi="Helvetica Neue" w:cs="Helvetica Neue"/>
          <w:sz w:val="29"/>
          <w:sz-cs w:val="29"/>
          <w:spacing w:val="0"/>
          <w:color w:val="161A26"/>
        </w:rPr>
        <w:t xml:space="preserve"> Der Befund, dass der Katalogtext KI nicht erwähnt, ist keine Kritik am Modul, sondern eine offene Frage: Wenn KI-Kompetenz im Studieneinstieg verankert werden soll, braucht es eine Entscheidung darüber, in welchem Umfang — und dann eine Anpassung der Modulbeschreibung. Bis dahin bildet das Spiel den Katalog ab.</w:t>
      </w:r>
    </w:p>
    <w:p>
      <w:pPr>
        <w:spacing w:after="293"/>
      </w:pPr>
      <w:r>
        <w:rPr>
          <w:rFonts w:ascii="Helvetica Neue" w:hAnsi="Helvetica Neue" w:cs="Helvetica Neue"/>
          <w:sz w:val="29"/>
          <w:sz-cs w:val="29"/>
          <w:b/>
          <w:spacing w:val="0"/>
          <w:color w:val="161A26"/>
        </w:rPr>
        <w:t xml:space="preserve">Die Aussagen zur Berufslaufbahn.</w:t>
      </w:r>
      <w:r>
        <w:rPr>
          <w:rFonts w:ascii="Helvetica Neue" w:hAnsi="Helvetica Neue" w:cs="Helvetica Neue"/>
          <w:sz w:val="29"/>
          <w:sz-cs w:val="29"/>
          <w:spacing w:val="0"/>
          <w:color w:val="161A26"/>
        </w:rPr>
        <w:t xml:space="preserve"> Das Spiel macht Angaben zu Löhnen, Weiterbildungskosten und Titelwegen, die Studierende als Orientierung nehmen werden. Sie sind mit Quellen belegt und mit Stand Juli/August 2026 datiert, aber sie veralten. Es braucht eine Festlegung, wer diese Angaben in welchem Rhythmus nachführt — und ob das Institut sie in dieser Form verantworten will.</w:t>
      </w:r>
    </w:p>
    <w:p>
      <w:pPr>
        <w:spacing w:after="293"/>
      </w:pPr>
      <w:r>
        <w:rPr>
          <w:rFonts w:ascii="Helvetica Neue" w:hAnsi="Helvetica Neue" w:cs="Helvetica Neue"/>
          <w:sz w:val="29"/>
          <w:sz-cs w:val="29"/>
          <w:b/>
          <w:spacing w:val="0"/>
          <w:color w:val="161A26"/>
        </w:rPr>
        <w:t xml:space="preserve">Die Prüfungslogik als Lerninhalt.</w:t>
      </w:r>
      <w:r>
        <w:rPr>
          <w:rFonts w:ascii="Helvetica Neue" w:hAnsi="Helvetica Neue" w:cs="Helvetica Neue"/>
          <w:sz w:val="29"/>
          <w:sz-cs w:val="29"/>
          <w:spacing w:val="0"/>
          <w:color w:val="161A26"/>
        </w:rPr>
        <w:t xml:space="preserve"> Dass 81 Prozent der dritten Fragen die Prüfungskategorien abfragten, war ein Konstruktionsfehler des Spiels. Die dahinterliegende Frage bleibt aber: Sollen Studierende die Logik von KI-freien, teilintegrierten und KI-integrierten Prüfungsformen explizit lernen? Falls ja, gehört das an eine eigene Stelle im Curriculum und nicht verteilt in 42 Modulquiz.</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Zugang</w:t>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Spiel:</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https://gpochs.github.io/kompetenzhaus-psychologie-uzh/</w:t>
      </w:r>
      <w:r>
        <w:rPr>
          <w:rFonts w:ascii="Helvetica Neue" w:hAnsi="Helvetica Neue" w:cs="Helvetica Neue"/>
          <w:sz w:val="29"/>
          <w:sz-cs w:val="29"/>
          <w:spacing w:val="0"/>
          <w:color w:val="161A26"/>
        </w:rPr>
        <w:t xml:space="preserve"/>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Quellcode:</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https://github.com/gpochs/kompetenzhaus-psychologie-uzh</w:t>
      </w:r>
      <w:r>
        <w:rPr>
          <w:rFonts w:ascii="Helvetica Neue" w:hAnsi="Helvetica Neue" w:cs="Helvetica Neue"/>
          <w:sz w:val="29"/>
          <w:sz-cs w:val="29"/>
          <w:spacing w:val="0"/>
          <w:color w:val="161A26"/>
        </w:rPr>
        <w:t xml:space="preserve"/>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Rückmeldungen:</w:t>
      </w:r>
      <w:r>
        <w:rPr>
          <w:rFonts w:ascii="Helvetica Neue" w:hAnsi="Helvetica Neue" w:cs="Helvetica Neue"/>
          <w:sz w:val="29"/>
          <w:sz-cs w:val="29"/>
          <w:spacing w:val="0"/>
          <w:color w:val="161A26"/>
        </w:rPr>
        <w:t xml:space="preserve"> In jeder Modulkarte steht eine Ampel (grün / gelb / rot) mit Freitextfeld. Die Rückmeldungen bleiben lokal im Browser und lassen sich als CSV exportieren — sie sind für die Validierungsschiene des ULF-Projekts gedacht.</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Literatur</w:t>
      </w:r>
    </w:p>
    <w:p>
      <w:pPr>
        <w:spacing w:after="293"/>
      </w:pPr>
      <w:r>
        <w:rPr>
          <w:rFonts w:ascii="Helvetica Neue" w:hAnsi="Helvetica Neue" w:cs="Helvetica Neue"/>
          <w:sz w:val="29"/>
          <w:sz-cs w:val="29"/>
          <w:spacing w:val="0"/>
          <w:color w:val="161A26"/>
        </w:rPr>
        <w:t xml:space="preserve">Bundesamt für Gesundheit. (o. D.). </w:t>
      </w:r>
      <w:r>
        <w:rPr>
          <w:rFonts w:ascii="Helvetica Neue" w:hAnsi="Helvetica Neue" w:cs="Helvetica Neue"/>
          <w:sz w:val="29"/>
          <w:sz-cs w:val="29"/>
          <w:i/>
          <w:spacing w:val="0"/>
          <w:color w:val="161A26"/>
        </w:rPr>
        <w:t xml:space="preserve">Häufige Fragen (FAQ) zum Psychologieberufegesetz (PsyG)</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https://www.bag.admin.ch/de/haeufige-fragen-faq-zum-psychologieberufegesetz-psyg</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Corbin, T., Dawson, P., Nicola-Richmond, K., &amp; Partridge, H. (2025). «Where's the line? It's an absurd line»: Towards a framework for acceptable uses of AI in assessment. </w:t>
      </w:r>
      <w:r>
        <w:rPr>
          <w:rFonts w:ascii="Helvetica Neue" w:hAnsi="Helvetica Neue" w:cs="Helvetica Neue"/>
          <w:sz w:val="29"/>
          <w:sz-cs w:val="29"/>
          <w:i/>
          <w:spacing w:val="0"/>
          <w:color w:val="161A26"/>
        </w:rPr>
        <w:t xml:space="preserve">Assessment &amp; Evaluation in Higher Education</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https://doi.org/10.1080/02602938.2025.2456207</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Dawson, P., Bearman, M., Dollinger, M., &amp; Boud, D. (2024). Validity matters more than cheating. </w:t>
      </w:r>
      <w:r>
        <w:rPr>
          <w:rFonts w:ascii="Helvetica Neue" w:hAnsi="Helvetica Neue" w:cs="Helvetica Neue"/>
          <w:sz w:val="29"/>
          <w:sz-cs w:val="29"/>
          <w:i/>
          <w:spacing w:val="0"/>
          <w:color w:val="161A26"/>
        </w:rPr>
        <w:t xml:space="preserve">Assessment &amp; Evaluation in Higher Education, 49</w:t>
      </w:r>
      <w:r>
        <w:rPr>
          <w:rFonts w:ascii="Helvetica Neue" w:hAnsi="Helvetica Neue" w:cs="Helvetica Neue"/>
          <w:sz w:val="29"/>
          <w:sz-cs w:val="29"/>
          <w:spacing w:val="0"/>
          <w:color w:val="161A26"/>
        </w:rPr>
        <w:t xml:space="preserve">(7), 1005–1016. </w:t>
      </w:r>
      <w:r>
        <w:rPr>
          <w:rFonts w:ascii="Helvetica Neue" w:hAnsi="Helvetica Neue" w:cs="Helvetica Neue"/>
          <w:sz w:val="29"/>
          <w:sz-cs w:val="29"/>
          <w:u w:val="single"/>
          <w:spacing w:val="0"/>
          <w:color w:val="0000E9"/>
        </w:rPr>
        <w:t xml:space="preserve">https://doi.org/10.1080/02602938.2024.2386662</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Dunlosky, J., Rawson, K. A., Marsh, E. J., Nathan, M. J., &amp; Willingham, D. T. (2013). Improving students' learning with effective learning techniques. </w:t>
      </w:r>
      <w:r>
        <w:rPr>
          <w:rFonts w:ascii="Helvetica Neue" w:hAnsi="Helvetica Neue" w:cs="Helvetica Neue"/>
          <w:sz w:val="29"/>
          <w:sz-cs w:val="29"/>
          <w:i/>
          <w:spacing w:val="0"/>
          <w:color w:val="161A26"/>
        </w:rPr>
        <w:t xml:space="preserve">Psychological Science in the Public Interest, 14</w:t>
      </w:r>
      <w:r>
        <w:rPr>
          <w:rFonts w:ascii="Helvetica Neue" w:hAnsi="Helvetica Neue" w:cs="Helvetica Neue"/>
          <w:sz w:val="29"/>
          <w:sz-cs w:val="29"/>
          <w:spacing w:val="0"/>
          <w:color w:val="161A26"/>
        </w:rPr>
        <w:t xml:space="preserve">(1), 4–58. </w:t>
      </w:r>
      <w:r>
        <w:rPr>
          <w:rFonts w:ascii="Helvetica Neue" w:hAnsi="Helvetica Neue" w:cs="Helvetica Neue"/>
          <w:sz w:val="29"/>
          <w:sz-cs w:val="29"/>
          <w:u w:val="single"/>
          <w:spacing w:val="0"/>
          <w:color w:val="0000E9"/>
        </w:rPr>
        <w:t xml:space="preserve">https://doi.org/10.1177/1529100612453266</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Ehlers, U.-D., Lindner, M., Rauch, E., &amp; Sablowski, M. (2024). </w:t>
      </w:r>
      <w:r>
        <w:rPr>
          <w:rFonts w:ascii="Helvetica Neue" w:hAnsi="Helvetica Neue" w:cs="Helvetica Neue"/>
          <w:sz w:val="29"/>
          <w:sz-cs w:val="29"/>
          <w:i/>
          <w:spacing w:val="0"/>
          <w:color w:val="161A26"/>
        </w:rPr>
        <w:t xml:space="preserve">AIComp — AI competence framework for higher education</w:t>
      </w:r>
      <w:r>
        <w:rPr>
          <w:rFonts w:ascii="Helvetica Neue" w:hAnsi="Helvetica Neue" w:cs="Helvetica Neue"/>
          <w:sz w:val="29"/>
          <w:sz-cs w:val="29"/>
          <w:spacing w:val="0"/>
          <w:color w:val="161A26"/>
        </w:rPr>
        <w:t xml:space="preserve">. Next Education. </w:t>
      </w:r>
      <w:r>
        <w:rPr>
          <w:rFonts w:ascii="Helvetica Neue" w:hAnsi="Helvetica Neue" w:cs="Helvetica Neue"/>
          <w:sz w:val="29"/>
          <w:sz-cs w:val="29"/>
          <w:u w:val="single"/>
          <w:spacing w:val="0"/>
          <w:color w:val="0000E9"/>
        </w:rPr>
        <w:t xml:space="preserve">https://nextskills.org</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Haladyna, T. M., &amp; Rodriguez, M. C. (2013). </w:t>
      </w:r>
      <w:r>
        <w:rPr>
          <w:rFonts w:ascii="Helvetica Neue" w:hAnsi="Helvetica Neue" w:cs="Helvetica Neue"/>
          <w:sz w:val="29"/>
          <w:sz-cs w:val="29"/>
          <w:i/>
          <w:spacing w:val="0"/>
          <w:color w:val="161A26"/>
        </w:rPr>
        <w:t xml:space="preserve">Developing and validating test items</w:t>
      </w:r>
      <w:r>
        <w:rPr>
          <w:rFonts w:ascii="Helvetica Neue" w:hAnsi="Helvetica Neue" w:cs="Helvetica Neue"/>
          <w:sz w:val="29"/>
          <w:sz-cs w:val="29"/>
          <w:spacing w:val="0"/>
          <w:color w:val="161A26"/>
        </w:rPr>
        <w:t xml:space="preserve">. Routledge. </w:t>
      </w:r>
      <w:r>
        <w:rPr>
          <w:rFonts w:ascii="Helvetica Neue" w:hAnsi="Helvetica Neue" w:cs="Helvetica Neue"/>
          <w:sz w:val="29"/>
          <w:sz-cs w:val="29"/>
          <w:u w:val="single"/>
          <w:spacing w:val="0"/>
          <w:color w:val="0000E9"/>
        </w:rPr>
        <w:t xml:space="preserve">https://doi.org/10.4324/9780203850381</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Liu, D., &amp; Bridgeman, A. (2024). </w:t>
      </w:r>
      <w:r>
        <w:rPr>
          <w:rFonts w:ascii="Helvetica Neue" w:hAnsi="Helvetica Neue" w:cs="Helvetica Neue"/>
          <w:sz w:val="29"/>
          <w:sz-cs w:val="29"/>
          <w:i/>
          <w:spacing w:val="0"/>
          <w:color w:val="161A26"/>
        </w:rPr>
        <w:t xml:space="preserve">The two-lane approach to assessment</w:t>
      </w:r>
      <w:r>
        <w:rPr>
          <w:rFonts w:ascii="Helvetica Neue" w:hAnsi="Helvetica Neue" w:cs="Helvetica Neue"/>
          <w:sz w:val="29"/>
          <w:sz-cs w:val="29"/>
          <w:spacing w:val="0"/>
          <w:color w:val="161A26"/>
        </w:rPr>
        <w:t xml:space="preserve">. University of Sydney. </w:t>
      </w:r>
      <w:r>
        <w:rPr>
          <w:rFonts w:ascii="Helvetica Neue" w:hAnsi="Helvetica Neue" w:cs="Helvetica Neue"/>
          <w:sz w:val="29"/>
          <w:sz-cs w:val="29"/>
          <w:u w:val="single"/>
          <w:spacing w:val="0"/>
          <w:color w:val="0000E9"/>
        </w:rPr>
        <w:t xml:space="preserve">https://educational-innovation.sydney.edu.au/teaching@sydney/what-to-do-about-assessments-if-we-cant-out-design-or-out-run-ai/</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Patall, E. A., Cooper, H., &amp; Robinson, J. C. (2008). The effects of choice on intrinsic motivation and related outcomes. </w:t>
      </w:r>
      <w:r>
        <w:rPr>
          <w:rFonts w:ascii="Helvetica Neue" w:hAnsi="Helvetica Neue" w:cs="Helvetica Neue"/>
          <w:sz w:val="29"/>
          <w:sz-cs w:val="29"/>
          <w:i/>
          <w:spacing w:val="0"/>
          <w:color w:val="161A26"/>
        </w:rPr>
        <w:t xml:space="preserve">Psychological Bulletin, 134</w:t>
      </w:r>
      <w:r>
        <w:rPr>
          <w:rFonts w:ascii="Helvetica Neue" w:hAnsi="Helvetica Neue" w:cs="Helvetica Neue"/>
          <w:sz w:val="29"/>
          <w:sz-cs w:val="29"/>
          <w:spacing w:val="0"/>
          <w:color w:val="161A26"/>
        </w:rPr>
        <w:t xml:space="preserve">(2), 270–300. </w:t>
      </w:r>
      <w:r>
        <w:rPr>
          <w:rFonts w:ascii="Helvetica Neue" w:hAnsi="Helvetica Neue" w:cs="Helvetica Neue"/>
          <w:sz w:val="29"/>
          <w:sz-cs w:val="29"/>
          <w:u w:val="single"/>
          <w:spacing w:val="0"/>
          <w:color w:val="0000E9"/>
        </w:rPr>
        <w:t xml:space="preserve">https://doi.org/10.1037/0033-2909.134.2.270</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Perkins, M., Furze, L., Roe, J., &amp; MacVaugh, J. (2024). The Artificial Intelligence Assessment Scale (AIAS). </w:t>
      </w:r>
      <w:r>
        <w:rPr>
          <w:rFonts w:ascii="Helvetica Neue" w:hAnsi="Helvetica Neue" w:cs="Helvetica Neue"/>
          <w:sz w:val="29"/>
          <w:sz-cs w:val="29"/>
          <w:i/>
          <w:spacing w:val="0"/>
          <w:color w:val="161A26"/>
        </w:rPr>
        <w:t xml:space="preserve">Journal of University Teaching and Learning Practice, 21</w:t>
      </w:r>
      <w:r>
        <w:rPr>
          <w:rFonts w:ascii="Helvetica Neue" w:hAnsi="Helvetica Neue" w:cs="Helvetica Neue"/>
          <w:sz w:val="29"/>
          <w:sz-cs w:val="29"/>
          <w:spacing w:val="0"/>
          <w:color w:val="161A26"/>
        </w:rPr>
        <w:t xml:space="preserve">(6). </w:t>
      </w:r>
      <w:r>
        <w:rPr>
          <w:rFonts w:ascii="Helvetica Neue" w:hAnsi="Helvetica Neue" w:cs="Helvetica Neue"/>
          <w:sz w:val="29"/>
          <w:sz-cs w:val="29"/>
          <w:u w:val="single"/>
          <w:spacing w:val="0"/>
          <w:color w:val="0000E9"/>
        </w:rPr>
        <w:t xml:space="preserve">https://doi.org/10.53761/q3azde36</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Schweizerische Eidgenossenschaft. (2011). </w:t>
      </w:r>
      <w:r>
        <w:rPr>
          <w:rFonts w:ascii="Helvetica Neue" w:hAnsi="Helvetica Neue" w:cs="Helvetica Neue"/>
          <w:sz w:val="29"/>
          <w:sz-cs w:val="29"/>
          <w:i/>
          <w:spacing w:val="0"/>
          <w:color w:val="161A26"/>
        </w:rPr>
        <w:t xml:space="preserve">Bundesgesetz über die Psychologieberufe (PsyG), SR 935.81</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https://www.fedlex.admin.ch/eli/cc/2012/889/de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Tertiary Education Quality and Standards Agency. (2025). </w:t>
      </w:r>
      <w:r>
        <w:rPr>
          <w:rFonts w:ascii="Helvetica Neue" w:hAnsi="Helvetica Neue" w:cs="Helvetica Neue"/>
          <w:sz w:val="29"/>
          <w:sz-cs w:val="29"/>
          <w:i/>
          <w:spacing w:val="0"/>
          <w:color w:val="161A26"/>
        </w:rPr>
        <w:t xml:space="preserve">Assessment reform for the age of artificial intelligence</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https://www.teqsa.gov.au/guides-resources/resources/corporate-publications/assessment-reform-age-artificial-intelligence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Universität Zürich. (2026). </w:t>
      </w:r>
      <w:r>
        <w:rPr>
          <w:rFonts w:ascii="Helvetica Neue" w:hAnsi="Helvetica Neue" w:cs="Helvetica Neue"/>
          <w:sz w:val="29"/>
          <w:sz-cs w:val="29"/>
          <w:i/>
          <w:spacing w:val="0"/>
          <w:color w:val="161A26"/>
        </w:rPr>
        <w:t xml:space="preserve">Einreihungsrichtlinien für wissenschaftliche Funktionen</w:t>
      </w:r>
      <w:r>
        <w:rPr>
          <w:rFonts w:ascii="Helvetica Neue" w:hAnsi="Helvetica Neue" w:cs="Helvetica Neue"/>
          <w:sz w:val="29"/>
          <w:sz-cs w:val="29"/>
          <w:spacing w:val="0"/>
          <w:color w:val="161A26"/>
        </w:rPr>
        <w:t xml:space="preserve"> (Stand 8. Januar 2026). </w:t>
      </w:r>
      <w:r>
        <w:rPr>
          <w:rFonts w:ascii="Helvetica Neue" w:hAnsi="Helvetica Neue" w:cs="Helvetica Neue"/>
          <w:sz w:val="29"/>
          <w:sz-cs w:val="29"/>
          <w:u w:val="single"/>
          <w:spacing w:val="0"/>
          <w:color w:val="0000E9"/>
        </w:rPr>
        <w:t xml:space="preserve">https://www.uzh.ch/cmsssl/de/about/basics/rechtliche-grundlagen.html</w:t>
      </w:r>
      <w:r>
        <w:rPr>
          <w:rFonts w:ascii="Helvetica Neue" w:hAnsi="Helvetica Neue" w:cs="Helvetica Neue"/>
          <w:sz w:val="29"/>
          <w:sz-cs w:val="29"/>
          <w:spacing w:val="0"/>
          <w:color w:val="161A26"/>
        </w:rPr>
        <w:t xml:space="preserve"/>
      </w:r>
    </w:p>
    <w:p>
      <w:pPr/>
      <w:r>
        <w:rPr>
          <w:rFonts w:ascii="Helvetica Neue" w:hAnsi="Helvetica Neue" w:cs="Helvetica Neue"/>
          <w:sz w:val="29"/>
          <w:sz-cs w:val="29"/>
          <w:spacing w:val="0"/>
          <w:color w:val="6D6D6D"/>
        </w:rPr>
        <w:t xml:space="preserve"/>
      </w:r>
    </w:p>
    <w:p>
      <w:pPr>
        <w:spacing w:after="293"/>
      </w:pPr>
      <w:r>
        <w:rPr>
          <w:rFonts w:ascii="Helvetica Neue" w:hAnsi="Helvetica Neue" w:cs="Helvetica Neue"/>
          <w:sz w:val="29"/>
          <w:sz-cs w:val="29"/>
          <w:i/>
          <w:spacing w:val="0"/>
          <w:color w:val="161A26"/>
        </w:rPr>
        <w:t xml:space="preserve">Vollständige Recherchegrundlagen: </w:t>
      </w:r>
      <w:r>
        <w:rPr>
          <w:rFonts w:ascii="Menlo" w:hAnsi="Menlo" w:cs="Menlo"/>
          <w:sz w:val="25"/>
          <w:sz-cs w:val="25"/>
          <w:i/>
          <w:spacing w:val="0"/>
          <w:color w:val="161A26"/>
        </w:rPr>
        <w:t xml:space="preserve">90_Recherche/web_stellenprofile-ch-2026.md</w:t>
      </w:r>
      <w:r>
        <w:rPr>
          <w:rFonts w:ascii="Helvetica Neue" w:hAnsi="Helvetica Neue" w:cs="Helvetica Neue"/>
          <w:sz w:val="29"/>
          <w:sz-cs w:val="29"/>
          <w:i/>
          <w:spacing w:val="0"/>
          <w:color w:val="161A26"/>
        </w:rPr>
        <w:t xml:space="preserve"> (Stellenprofile Schweiz, 1.8.2026), </w:t>
      </w:r>
      <w:r>
        <w:rPr>
          <w:rFonts w:ascii="Menlo" w:hAnsi="Menlo" w:cs="Menlo"/>
          <w:sz w:val="25"/>
          <w:sz-cs w:val="25"/>
          <w:i/>
          <w:spacing w:val="0"/>
          <w:color w:val="161A26"/>
        </w:rPr>
        <w:t xml:space="preserve">web_karrierepfade-aus-fachbereichen.md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web_karrierewege-nach-msc.md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web_masterarbeit-stufe4.md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web_gestaltung-choice-evidenz.md</w:t>
      </w:r>
      <w:r>
        <w:rPr>
          <w:rFonts w:ascii="Helvetica Neue" w:hAnsi="Helvetica Neue" w:cs="Helvetica Neue"/>
          <w:sz w:val="29"/>
          <w:sz-cs w:val="29"/>
          <w:i/>
          <w:spacing w:val="0"/>
          <w:color w:val="161A26"/>
        </w:rPr>
        <w:t xml:space="preserve">. Änderungsprotokoll: </w:t>
      </w:r>
      <w:r>
        <w:rPr>
          <w:rFonts w:ascii="Menlo" w:hAnsi="Menlo" w:cs="Menlo"/>
          <w:sz w:val="25"/>
          <w:sz-cs w:val="25"/>
          <w:i/>
          <w:spacing w:val="0"/>
          <w:color w:val="161A26"/>
        </w:rPr>
        <w:t xml:space="preserve">30_Backlog/v7-backlog.md</w:t>
      </w:r>
      <w:r>
        <w:rPr>
          <w:rFonts w:ascii="Helvetica Neue" w:hAnsi="Helvetica Neue" w:cs="Helvetica Neue"/>
          <w:sz w:val="29"/>
          <w:sz-cs w:val="29"/>
          <w:i/>
          <w:spacing w:val="0"/>
          <w:color w:val="161A26"/>
        </w:rPr>
        <w:t xml:space="preserve">.</w:t>
      </w:r>
      <w:r>
        <w:rPr>
          <w:rFonts w:ascii="Helvetica Neue" w:hAnsi="Helvetica Neue" w:cs="Helvetica Neue"/>
          <w:sz w:val="29"/>
          <w:sz-cs w:val="29"/>
          <w:spacing w:val="0"/>
          <w:color w:val="161A2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