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57"/>
      </w:pPr>
      <w:r>
        <w:rPr>
          <w:rFonts w:ascii="Helvetica Neue" w:hAnsi="Helvetica Neue" w:cs="Helvetica Neue"/>
          <w:sz w:val="53"/>
          <w:sz-cs w:val="53"/>
          <w:b/>
          <w:spacing w:val="0"/>
          <w:color w:val="001394"/>
        </w:rPr>
        <w:t xml:space="preserve">Das Kompetenzhaus — Kurzbericht für die Programmleitung</w:t>
      </w:r>
    </w:p>
    <w:p>
      <w:pPr>
        <w:spacing w:after="293"/>
      </w:pPr>
      <w:r>
        <w:rPr>
          <w:rFonts w:ascii="Helvetica Neue" w:hAnsi="Helvetica Neue" w:cs="Helvetica Neue"/>
          <w:sz w:val="29"/>
          <w:sz-cs w:val="29"/>
          <w:b/>
          <w:spacing w:val="0"/>
          <w:color w:val="161A26"/>
        </w:rPr>
        <w:t xml:space="preserve">Stand 8. August 2026 · Version 13.6 · Gian Peter Ochsner, Lehrentwicklung Psychologisches Institut UZH</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Worum es geht, in drei Sätzen</w:t>
      </w:r>
    </w:p>
    <w:p>
      <w:pPr>
        <w:spacing w:after="293"/>
      </w:pPr>
      <w:r>
        <w:rPr>
          <w:rFonts w:ascii="Helvetica Neue" w:hAnsi="Helvetica Neue" w:cs="Helvetica Neue"/>
          <w:sz w:val="29"/>
          <w:sz-cs w:val="29"/>
          <w:spacing w:val="0"/>
          <w:color w:val="161A26"/>
        </w:rPr>
        <w:t xml:space="preserve">«Das Kompetenzhaus» ist ein browserbasiertes Lernspiel, in dem Studierende aus den Modulen des BSc (06B-7200-120) und des MSc (06M-7200-120) ein Haus bauen. Jeder gebaute Baustein trägt zu einem Kompetenzprofil bei — zehn fachlich-wissenschaftliche Kompetenzen, sechs KI-Kompetenzen und drei Future Skills, je auf vier Progressionsstufen. Das Spiel dient dem ULF-Projekt «Teaching Innovation in Large Classes» als studierendengerichtetes Artefakt und macht zugleich sichtbar, was eine KI-integrierte Curriculumsentwicklung konkret bedeutet.</w:t>
      </w:r>
    </w:p>
    <w:p>
      <w:pPr>
        <w:spacing w:after="293"/>
      </w:pPr>
      <w:r>
        <w:rPr>
          <w:rFonts w:ascii="Helvetica Neue" w:hAnsi="Helvetica Neue" w:cs="Helvetica Neue"/>
          <w:sz w:val="29"/>
          <w:sz-cs w:val="29"/>
          <w:spacing w:val="0"/>
          <w:color w:val="161A26"/>
        </w:rPr>
        <w:t xml:space="preserve">Kein Login, keine Serverdaten, keine Rangliste: Alles läuft im Browser der Studierenden, die Daten bleiben dort.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Der wichtigste Befund zuerst: die Lernziele</w:t>
      </w:r>
    </w:p>
    <w:p>
      <w:pPr>
        <w:spacing w:after="293"/>
      </w:pPr>
      <w:r>
        <w:rPr>
          <w:rFonts w:ascii="Helvetica Neue" w:hAnsi="Helvetica Neue" w:cs="Helvetica Neue"/>
          <w:sz w:val="29"/>
          <w:sz-cs w:val="29"/>
          <w:spacing w:val="0"/>
          <w:color w:val="161A26"/>
        </w:rPr>
        <w:t xml:space="preserve">Eine systematische Prüfung aller </w:t>
      </w:r>
      <w:r>
        <w:rPr>
          <w:rFonts w:ascii="Helvetica Neue" w:hAnsi="Helvetica Neue" w:cs="Helvetica Neue"/>
          <w:sz w:val="29"/>
          <w:sz-cs w:val="29"/>
          <w:b/>
          <w:spacing w:val="0"/>
          <w:color w:val="161A26"/>
        </w:rPr>
        <w:t xml:space="preserve">172 Lernziele</w:t>
      </w:r>
      <w:r>
        <w:rPr>
          <w:rFonts w:ascii="Helvetica Neue" w:hAnsi="Helvetica Neue" w:cs="Helvetica Neue"/>
          <w:sz w:val="29"/>
          <w:sz-cs w:val="29"/>
          <w:spacing w:val="0"/>
          <w:color w:val="161A26"/>
        </w:rPr>
        <w:t xml:space="preserve"> gegen den offiziellen Katalogtext, die Progressionsstufe des jeweiligen Moduls und das übrige Curriculum ergab </w:t>
      </w:r>
      <w:r>
        <w:rPr>
          <w:rFonts w:ascii="Helvetica Neue" w:hAnsi="Helvetica Neue" w:cs="Helvetica Neue"/>
          <w:sz w:val="29"/>
          <w:sz-cs w:val="29"/>
          <w:b/>
          <w:spacing w:val="0"/>
          <w:color w:val="161A26"/>
        </w:rPr>
        <w:t xml:space="preserve">91 Beanstandungen in 37 der 42 Module</w:t>
      </w:r>
      <w:r>
        <w:rPr>
          <w:rFonts w:ascii="Helvetica Neue" w:hAnsi="Helvetica Neue" w:cs="Helvetica Neue"/>
          <w:sz w:val="29"/>
          <w:sz-cs w:val="29"/>
          <w:spacing w:val="0"/>
          <w:color w:val="161A26"/>
        </w:rPr>
        <w:t xml:space="preserve">. Die Verteilung:</w:t>
      </w:r>
    </w:p>
    <w:p>
      <w:pPr/>
      <w:r>
        <w:rPr>
          <w:rFonts w:ascii="Helvetica Neue" w:hAnsi="Helvetica Neue" w:cs="Helvetica Neue"/>
          <w:sz w:val="26"/>
          <w:sz-cs w:val="26"/>
          <w:b/>
          <w:spacing w:val="0"/>
          <w:color w:val="161A26"/>
        </w:rPr>
        <w:t xml:space="preserve">Problem</w:t>
      </w:r>
    </w:p>
    <w:p>
      <w:pPr/>
      <w:r>
        <w:rPr>
          <w:rFonts w:ascii="Helvetica Neue" w:hAnsi="Helvetica Neue" w:cs="Helvetica Neue"/>
          <w:sz w:val="26"/>
          <w:sz-cs w:val="26"/>
          <w:b/>
          <w:spacing w:val="0"/>
          <w:color w:val="161A26"/>
        </w:rPr>
        <w:t xml:space="preserve">Anzahl</w:t>
      </w:r>
    </w:p>
    <w:p>
      <w:pPr/>
      <w:r>
        <w:rPr>
          <w:rFonts w:ascii="Helvetica Neue" w:hAnsi="Helvetica Neue" w:cs="Helvetica Neue"/>
          <w:sz w:val="26"/>
          <w:sz-cs w:val="26"/>
          <w:spacing w:val="0"/>
          <w:color w:val="161A26"/>
        </w:rPr>
        <w:t xml:space="preserve">zu generisch — passte wortgleich auf zehn andere Module</w:t>
      </w:r>
    </w:p>
    <w:p>
      <w:pPr/>
      <w:r>
        <w:rPr>
          <w:rFonts w:ascii="Helvetica Neue" w:hAnsi="Helvetica Neue" w:cs="Helvetica Neue"/>
          <w:sz w:val="26"/>
          <w:sz-cs w:val="26"/>
          <w:spacing w:val="0"/>
          <w:color w:val="161A26"/>
        </w:rPr>
        <w:t xml:space="preserve">23</w:t>
      </w:r>
    </w:p>
    <w:p>
      <w:pPr/>
      <w:r>
        <w:rPr>
          <w:rFonts w:ascii="Helvetica Neue" w:hAnsi="Helvetica Neue" w:cs="Helvetica Neue"/>
          <w:sz w:val="26"/>
          <w:sz-cs w:val="26"/>
          <w:spacing w:val="0"/>
          <w:color w:val="161A26"/>
        </w:rPr>
        <w:t xml:space="preserve">kein Fachinhalt — nur Prozesslog und Disclosure Form</w:t>
      </w:r>
    </w:p>
    <w:p>
      <w:pPr/>
      <w:r>
        <w:rPr>
          <w:rFonts w:ascii="Helvetica Neue" w:hAnsi="Helvetica Neue" w:cs="Helvetica Neue"/>
          <w:sz w:val="26"/>
          <w:sz-cs w:val="26"/>
          <w:spacing w:val="0"/>
          <w:color w:val="161A26"/>
        </w:rPr>
        <w:t xml:space="preserve">12</w:t>
      </w:r>
    </w:p>
    <w:p>
      <w:pPr/>
      <w:r>
        <w:rPr>
          <w:rFonts w:ascii="Helvetica Neue" w:hAnsi="Helvetica Neue" w:cs="Helvetica Neue"/>
          <w:sz w:val="26"/>
          <w:sz-cs w:val="26"/>
          <w:spacing w:val="0"/>
          <w:color w:val="161A26"/>
        </w:rPr>
        <w:t xml:space="preserve">doppelt — die drei Wahlseminare hatten austauschbare Ziele</w:t>
      </w:r>
    </w:p>
    <w:p>
      <w:pPr/>
      <w:r>
        <w:rPr>
          <w:rFonts w:ascii="Helvetica Neue" w:hAnsi="Helvetica Neue" w:cs="Helvetica Neue"/>
          <w:sz w:val="26"/>
          <w:sz-cs w:val="26"/>
          <w:spacing w:val="0"/>
          <w:color w:val="161A26"/>
        </w:rPr>
        <w:t xml:space="preserve">10</w:t>
      </w:r>
    </w:p>
    <w:p>
      <w:pPr/>
      <w:r>
        <w:rPr>
          <w:rFonts w:ascii="Helvetica Neue" w:hAnsi="Helvetica Neue" w:cs="Helvetica Neue"/>
          <w:sz w:val="26"/>
          <w:sz-cs w:val="26"/>
          <w:spacing w:val="0"/>
          <w:color w:val="161A26"/>
        </w:rPr>
        <w:t xml:space="preserve">falsche Progressionsstufe</w:t>
      </w:r>
    </w:p>
    <w:p>
      <w:pPr/>
      <w:r>
        <w:rPr>
          <w:rFonts w:ascii="Helvetica Neue" w:hAnsi="Helvetica Neue" w:cs="Helvetica Neue"/>
          <w:sz w:val="26"/>
          <w:sz-cs w:val="26"/>
          <w:spacing w:val="0"/>
          <w:color w:val="161A26"/>
        </w:rPr>
        <w:t xml:space="preserve">8</w:t>
      </w:r>
    </w:p>
    <w:p>
      <w:pPr/>
      <w:r>
        <w:rPr>
          <w:rFonts w:ascii="Helvetica Neue" w:hAnsi="Helvetica Neue" w:cs="Helvetica Neue"/>
          <w:sz w:val="26"/>
          <w:sz-cs w:val="26"/>
          <w:spacing w:val="0"/>
          <w:color w:val="161A26"/>
        </w:rPr>
        <w:t xml:space="preserve">KI aufgesetzt statt fachlich integriert</w:t>
      </w:r>
    </w:p>
    <w:p>
      <w:pPr/>
      <w:r>
        <w:rPr>
          <w:rFonts w:ascii="Helvetica Neue" w:hAnsi="Helvetica Neue" w:cs="Helvetica Neue"/>
          <w:sz w:val="26"/>
          <w:sz-cs w:val="26"/>
          <w:spacing w:val="0"/>
          <w:color w:val="161A26"/>
        </w:rPr>
        <w:t xml:space="preserve">4</w:t>
      </w:r>
    </w:p>
    <w:p>
      <w:pPr/>
      <w:r>
        <w:rPr>
          <w:rFonts w:ascii="Helvetica Neue" w:hAnsi="Helvetica Neue" w:cs="Helvetica Neue"/>
          <w:sz w:val="26"/>
          <w:sz-cs w:val="26"/>
          <w:spacing w:val="0"/>
          <w:color w:val="161A26"/>
        </w:rPr>
        <w:t xml:space="preserve">passte nicht zum Modul</w:t>
      </w:r>
    </w:p>
    <w:p>
      <w:pPr/>
      <w:r>
        <w:rPr>
          <w:rFonts w:ascii="Helvetica Neue" w:hAnsi="Helvetica Neue" w:cs="Helvetica Neue"/>
          <w:sz w:val="26"/>
          <w:sz-cs w:val="26"/>
          <w:spacing w:val="0"/>
          <w:color w:val="161A26"/>
        </w:rPr>
        <w:t xml:space="preserve">3</w:t>
      </w:r>
    </w:p>
    <w:p>
      <w:pPr>
        <w:spacing w:after="293"/>
      </w:pPr>
      <w:r>
        <w:rPr>
          <w:rFonts w:ascii="Helvetica Neue" w:hAnsi="Helvetica Neue" w:cs="Helvetica Neue"/>
          <w:sz w:val="29"/>
          <w:sz-cs w:val="29"/>
          <w:b/>
          <w:spacing w:val="0"/>
          <w:color w:val="161A26"/>
        </w:rPr>
        <w:t xml:space="preserve">Ein einziger Fehlertyp erklärt 58 Prozent:</w:t>
      </w:r>
      <w:r>
        <w:rPr>
          <w:rFonts w:ascii="Helvetica Neue" w:hAnsi="Helvetica Neue" w:cs="Helvetica Neue"/>
          <w:sz w:val="29"/>
          <w:sz-cs w:val="29"/>
          <w:spacing w:val="0"/>
          <w:color w:val="161A26"/>
        </w:rPr>
        <w:t xml:space="preserve"> Das Lernziel benannte die Tätigkeit, aber nicht den Gegenstand. Dazu eine Schablone, die sich sechsfach wiederholte — „eine KI-Erklärung gegen das Lehrbuch prüfen" stand fast wortgleich in sechs Modulen über alle drei Progressionsstufen hinweg, ohne jede Steigerung.</w:t>
      </w:r>
    </w:p>
    <w:p>
      <w:pPr>
        <w:spacing w:after="293"/>
      </w:pPr>
      <w:r>
        <w:rPr>
          <w:rFonts w:ascii="Helvetica Neue" w:hAnsi="Helvetica Neue" w:cs="Helvetica Neue"/>
          <w:sz w:val="29"/>
          <w:sz-cs w:val="29"/>
          <w:spacing w:val="0"/>
          <w:color w:val="161A26"/>
        </w:rPr>
        <w:t xml:space="preserve">Am schwersten wiegt: </w:t>
      </w:r>
      <w:r>
        <w:rPr>
          <w:rFonts w:ascii="Helvetica Neue" w:hAnsi="Helvetica Neue" w:cs="Helvetica Neue"/>
          <w:sz w:val="29"/>
          <w:sz-cs w:val="29"/>
          <w:b/>
          <w:spacing w:val="0"/>
          <w:color w:val="161A26"/>
        </w:rPr>
        <w:t xml:space="preserve">In drei Modulen war kein einziges Lernziel fachlich prüfbar</w:t>
      </w:r>
      <w:r>
        <w:rPr>
          <w:rFonts w:ascii="Helvetica Neue" w:hAnsi="Helvetica Neue" w:cs="Helvetica Neue"/>
          <w:sz w:val="29"/>
          <w:sz-cs w:val="29"/>
          <w:spacing w:val="0"/>
          <w:color w:val="161A26"/>
        </w:rPr>
        <w:t xml:space="preserve">, darunter das einzige fortgeschrittene Methodenmodul des Masters, dessen vier Lernziele ausschliesslich KI-Workflows beschrieben. Diese Module wären bestehbar gewesen, ohne dass je Fachwissen geprüft wird.</w:t>
      </w:r>
    </w:p>
    <w:p>
      <w:pPr>
        <w:spacing w:after="293"/>
      </w:pPr>
      <w:r>
        <w:rPr>
          <w:rFonts w:ascii="Helvetica Neue" w:hAnsi="Helvetica Neue" w:cs="Helvetica Neue"/>
          <w:sz w:val="29"/>
          <w:sz-cs w:val="29"/>
          <w:spacing w:val="0"/>
          <w:color w:val="161A26"/>
        </w:rPr>
        <w:t xml:space="preserve">86 Lernziele sind ersetzt. Statt „ein Thema der Entwicklungspsychologie vertiefen" stehen dort jetzt Objektpermanenz und Bindungsklassifikation, statt „Grundlagen anwenden" die begründete Wahl zwischen Mehrebenenmodell und Strukturgleichungsmodell. Der Modulkatalog der Zukunft ist entsprechend nachgeführt.</w:t>
      </w:r>
    </w:p>
    <w:p>
      <w:pPr>
        <w:spacing w:after="293"/>
      </w:pPr>
      <w:r>
        <w:rPr>
          <w:rFonts w:ascii="Helvetica Neue" w:hAnsi="Helvetica Neue" w:cs="Helvetica Neue"/>
          <w:sz w:val="29"/>
          <w:sz-cs w:val="29"/>
          <w:b/>
          <w:spacing w:val="0"/>
          <w:color w:val="161A26"/>
        </w:rPr>
        <w:t xml:space="preserve">Für die Programmleitung heisst das zweierlei.</w:t>
      </w:r>
      <w:r>
        <w:rPr>
          <w:rFonts w:ascii="Helvetica Neue" w:hAnsi="Helvetica Neue" w:cs="Helvetica Neue"/>
          <w:sz w:val="29"/>
          <w:sz-cs w:val="29"/>
          <w:spacing w:val="0"/>
          <w:color w:val="161A26"/>
        </w:rPr>
        <w:t xml:space="preserve"> Erstens: Die Formulierung von Lernzielen braucht eine Qualitätssicherung, die genau diese Fragen stellt — nennt das Ziel den Gegenstand, passt das Verb zur Stufe, unterscheidet es dieses Modul von den anderen? Zweitens, und unangenehmer: Der Befund betrifft nicht das Spiel, sondern die Vorlage. Wo Lernziele über Abgabeformalia sprechen statt über Psychologie, ist das eine Frage an die Modulbeschreibungen selbst.</w:t>
      </w:r>
    </w:p>
    <w:p>
      <w:pPr>
        <w:spacing w:after="331"/>
      </w:pPr>
      <w:r>
        <w:rPr>
          <w:rFonts w:ascii="Helvetica Neue" w:hAnsi="Helvetica Neue" w:cs="Helvetica Neue"/>
          <w:sz w:val="40"/>
          <w:sz-cs w:val="40"/>
          <w:b/>
          <w:spacing w:val="0"/>
          <w:color w:val="001394"/>
        </w:rPr>
        <w:t xml:space="preserve">Ein fachlicher Fehler, der korrigiert wurde</w:t>
      </w:r>
    </w:p>
    <w:p>
      <w:pPr>
        <w:spacing w:after="293"/>
      </w:pPr>
      <w:r>
        <w:rPr>
          <w:rFonts w:ascii="Helvetica Neue" w:hAnsi="Helvetica Neue" w:cs="Helvetica Neue"/>
          <w:sz w:val="29"/>
          <w:sz-cs w:val="29"/>
          <w:spacing w:val="0"/>
          <w:color w:val="161A26"/>
        </w:rPr>
        <w:t xml:space="preserve">Die Erklärung zu einer Quizfrage der Arbeits- und Organisationspsychologie stützte sich auf Schmidt und Hunter (1998) und nannte den kognitiven Fähigkeitstest als validesten Einzelprädiktor. Sackett, Zhang, Berry und Lievens (2022) haben diese Schätzungen wegen systematischer Überkorrektur für Varianzeinschränkung revidiert: Strukturierte Interviews liegen mit .42 vor Wissenstests (.40), Arbeitsproben (.33) und kognitiver Fähigkeit (.31). Die empfohlene Verfahrenskombination bleibt tragfähig, die Begründung war es nicht. Die Erklärung zeigt jetzt beide Metaanalysen und macht die Verschiebung selbst zum Lerngegenstand.</w:t>
      </w:r>
    </w:p>
    <w:p>
      <w:pPr>
        <w:spacing w:after="331"/>
      </w:pPr>
      <w:r>
        <w:rPr>
          <w:rFonts w:ascii="Helvetica Neue" w:hAnsi="Helvetica Neue" w:cs="Helvetica Neue"/>
          <w:sz w:val="40"/>
          <w:sz-cs w:val="40"/>
          <w:b/>
          <w:spacing w:val="0"/>
          <w:color w:val="001394"/>
        </w:rPr>
        <w:t xml:space="preserve">Wo das Spiel jetzt Kontroversen zeigt statt Konsens</w:t>
      </w:r>
    </w:p>
    <w:p>
      <w:pPr>
        <w:spacing w:after="293"/>
      </w:pPr>
      <w:r>
        <w:rPr>
          <w:rFonts w:ascii="Helvetica Neue" w:hAnsi="Helvetica Neue" w:cs="Helvetica Neue"/>
          <w:sz w:val="29"/>
          <w:sz-cs w:val="29"/>
          <w:spacing w:val="0"/>
          <w:color w:val="161A26"/>
        </w:rPr>
        <w:t xml:space="preserve">Drei Debatten sind neu dort verankert, wo sie fachlich hingehören: die </w:t>
      </w:r>
      <w:r>
        <w:rPr>
          <w:rFonts w:ascii="Helvetica Neue" w:hAnsi="Helvetica Neue" w:cs="Helvetica Neue"/>
          <w:sz w:val="29"/>
          <w:sz-cs w:val="29"/>
          <w:b/>
          <w:spacing w:val="0"/>
          <w:color w:val="161A26"/>
        </w:rPr>
        <w:t xml:space="preserve">Replikationskrise</w:t>
      </w:r>
      <w:r>
        <w:rPr>
          <w:rFonts w:ascii="Helvetica Neue" w:hAnsi="Helvetica Neue" w:cs="Helvetica Neue"/>
          <w:sz w:val="29"/>
          <w:sz-cs w:val="29"/>
          <w:spacing w:val="0"/>
          <w:color w:val="161A26"/>
        </w:rPr>
        <w:t xml:space="preserve"> im Experimentalpraktikum (Teststärke vor der Erhebung, Analyseplan vor dem Datenblick, konfirmatorisch und explorativ getrennt berichtet — als erste Stufe der Kette zum Reproduzierbarkeitscheck der Bachelorarbeit und zur Präregistrierung der Masterarbeit); die </w:t>
      </w:r>
      <w:r>
        <w:rPr>
          <w:rFonts w:ascii="Helvetica Neue" w:hAnsi="Helvetica Neue" w:cs="Helvetica Neue"/>
          <w:sz w:val="29"/>
          <w:sz-cs w:val="29"/>
          <w:b/>
          <w:spacing w:val="0"/>
          <w:color w:val="161A26"/>
        </w:rPr>
        <w:t xml:space="preserve">Klassifikationsdebatte</w:t>
      </w:r>
      <w:r>
        <w:rPr>
          <w:rFonts w:ascii="Helvetica Neue" w:hAnsi="Helvetica Neue" w:cs="Helvetica Neue"/>
          <w:sz w:val="29"/>
          <w:sz-cs w:val="29"/>
          <w:spacing w:val="0"/>
          <w:color w:val="161A26"/>
        </w:rPr>
        <w:t xml:space="preserve"> in der Klinischen Psychologie (DSM-5-TR als Arbeitsgrundlage, daneben RDoC und HiTOP mit ihren Gründen) samt der Wirkfaktorendebatte; und die </w:t>
      </w:r>
      <w:r>
        <w:rPr>
          <w:rFonts w:ascii="Helvetica Neue" w:hAnsi="Helvetica Neue" w:cs="Helvetica Neue"/>
          <w:sz w:val="29"/>
          <w:sz-cs w:val="29"/>
          <w:b/>
          <w:spacing w:val="0"/>
          <w:color w:val="161A26"/>
        </w:rPr>
        <w:t xml:space="preserve">Stichprobenbasis des Fachs</w:t>
      </w:r>
      <w:r>
        <w:rPr>
          <w:rFonts w:ascii="Helvetica Neue" w:hAnsi="Helvetica Neue" w:cs="Helvetica Neue"/>
          <w:sz w:val="29"/>
          <w:sz-cs w:val="29"/>
          <w:spacing w:val="0"/>
          <w:color w:val="161A26"/>
        </w:rPr>
        <w:t xml:space="preserve"> in der Methodenvorlesung.</w:t>
      </w:r>
    </w:p>
    <w:p>
      <w:pPr>
        <w:spacing w:after="331"/>
      </w:pPr>
      <w:r>
        <w:rPr>
          <w:rFonts w:ascii="Helvetica Neue" w:hAnsi="Helvetica Neue" w:cs="Helvetica Neue"/>
          <w:sz w:val="40"/>
          <w:sz-cs w:val="40"/>
          <w:b/>
          <w:spacing w:val="0"/>
          <w:color w:val="001394"/>
        </w:rPr>
        <w:t xml:space="preserve">Was diese Versionen verändert haben — und warum es die Programmleitung angeht</w:t>
      </w:r>
    </w:p>
    <w:p>
      <w:pPr>
        <w:spacing w:after="293"/>
      </w:pPr>
      <w:r>
        <w:rPr>
          <w:rFonts w:ascii="Helvetica Neue" w:hAnsi="Helvetica Neue" w:cs="Helvetica Neue"/>
          <w:sz w:val="29"/>
          <w:sz-cs w:val="29"/>
          <w:spacing w:val="0"/>
          <w:color w:val="161A26"/>
        </w:rPr>
        <w:t xml:space="preserve">Version 10 hat vier Befunde behoben, die das Instrument in seiner Aussagekraft eingeschränkt hätten. Alle vier sind für die Programmarbeit relevant, weil sie an Stellen sassen, an denen das Spiel etwas über das Studium behauptet.</w:t>
      </w:r>
    </w:p>
    <w:p>
      <w:pPr>
        <w:spacing w:after="333"/>
      </w:pPr>
      <w:r>
        <w:rPr>
          <w:rFonts w:ascii="Helvetica Neue" w:hAnsi="Helvetica Neue" w:cs="Helvetica Neue"/>
          <w:sz w:val="33"/>
          <w:sz-cs w:val="33"/>
          <w:b/>
          <w:spacing w:val="0"/>
          <w:color w:val="161A26"/>
        </w:rPr>
        <w:t xml:space="preserve">1. Die Prüfungsfragen fragten nicht nach dem Fach, sondern nach der Prüfungsordnung</w:t>
      </w:r>
    </w:p>
    <w:p>
      <w:pPr>
        <w:spacing w:after="293"/>
      </w:pPr>
      <w:r>
        <w:rPr>
          <w:rFonts w:ascii="Helvetica Neue" w:hAnsi="Helvetica Neue" w:cs="Helvetica Neue"/>
          <w:sz w:val="29"/>
          <w:sz-cs w:val="29"/>
          <w:spacing w:val="0"/>
          <w:color w:val="161A26"/>
        </w:rPr>
        <w:t xml:space="preserve">Jedes der 42 Module hat drei Quizfragen. Eine Auszählung ergab: </w:t>
      </w:r>
      <w:r>
        <w:rPr>
          <w:rFonts w:ascii="Helvetica Neue" w:hAnsi="Helvetica Neue" w:cs="Helvetica Neue"/>
          <w:sz w:val="29"/>
          <w:sz-cs w:val="29"/>
          <w:b/>
          <w:spacing w:val="0"/>
          <w:color w:val="161A26"/>
        </w:rPr>
        <w:t xml:space="preserve">81 Prozent der jeweils dritten Frage prüften dieselbe Sache</w:t>
      </w:r>
      <w:r>
        <w:rPr>
          <w:rFonts w:ascii="Helvetica Neue" w:hAnsi="Helvetica Neue" w:cs="Helvetica Neue"/>
          <w:sz w:val="29"/>
          <w:sz-cs w:val="29"/>
          <w:spacing w:val="0"/>
          <w:color w:val="161A26"/>
        </w:rPr>
        <w:t xml:space="preserve"> — ob Studierende die Kategorien der Prüfungslogik [A] / [B] / [C] auseinanderhalten. Das ist Metawissen über die Prüfungsordnung, nicht Fachkompetenz. In 36 von 42 Modulen kam diese Kategorienabfrage wörtlich vor.</w:t>
      </w:r>
    </w:p>
    <w:p>
      <w:pPr>
        <w:spacing w:after="293"/>
      </w:pPr>
      <w:r>
        <w:rPr>
          <w:rFonts w:ascii="Helvetica Neue" w:hAnsi="Helvetica Neue" w:cs="Helvetica Neue"/>
          <w:sz w:val="29"/>
          <w:sz-cs w:val="29"/>
          <w:spacing w:val="0"/>
          <w:color w:val="161A26"/>
        </w:rPr>
        <w:t xml:space="preserve">Ersetzt wurden 40 dieser Fragen durch acht rotierende Motive: Datenqualität, Messfehler, Replikation, Ethik, Transfer in die Praxis, typische Fehlschlüsse, Stichprobenlogik und Interpretationsspielraum. Zusätzlich wurden 13 Fragen zu künstlicher Intelligenz überarbeitet, die zwar von KI handelten, aber nicht vom Fach — künftig ist jede KI-Frage an den konkreten Modulinhalt und die dort erworbenen Fachkompetenzen gebunden.</w:t>
      </w:r>
    </w:p>
    <w:p>
      <w:pPr>
        <w:spacing w:after="293"/>
      </w:pPr>
      <w:r>
        <w:rPr>
          <w:rFonts w:ascii="Helvetica Neue" w:hAnsi="Helvetica Neue" w:cs="Helvetica Neue"/>
          <w:sz w:val="29"/>
          <w:sz-cs w:val="29"/>
          <w:spacing w:val="0"/>
          <w:color w:val="161A26"/>
        </w:rPr>
        <w:t xml:space="preserve">Nachprüfbar: In keinem der 42 Module fragt die dritte Frage noch die Prüfungskategorien ab; das häufigste Einzelmotiv kommt noch fünfmal vor statt siebenmal, das Thema Datenschutz einmal statt siebenmal.</w:t>
      </w:r>
    </w:p>
    <w:p>
      <w:pPr>
        <w:spacing w:after="293"/>
      </w:pPr>
      <w:r>
        <w:rPr>
          <w:rFonts w:ascii="Helvetica Neue" w:hAnsi="Helvetica Neue" w:cs="Helvetica Neue"/>
          <w:sz w:val="29"/>
          <w:sz-cs w:val="29"/>
          <w:spacing w:val="0"/>
          <w:color w:val="161A26"/>
        </w:rPr>
        <w:t xml:space="preserve">Fachlicher Hintergrund: Verteiltes und abrufendes Üben gehört zu den wenigen Lernstrategien mit hoher Wirksamkeitsevidenz (Dunlosky et al., 2013). Damit Abrufübung wirkt, muss sie allerdings den Fachinhalt betreffen. Die Distraktoren folgen den Konstruktionsregeln von Haladyna und Rodriguez (2013): parallele Länge und Struktur, plausible Fehlkonzepte, genau eine eindeutig richtige Antwort.</w:t>
      </w:r>
    </w:p>
    <w:p>
      <w:pPr>
        <w:spacing w:after="333"/>
      </w:pPr>
      <w:r>
        <w:rPr>
          <w:rFonts w:ascii="Helvetica Neue" w:hAnsi="Helvetica Neue" w:cs="Helvetica Neue"/>
          <w:sz w:val="33"/>
          <w:sz-cs w:val="33"/>
          <w:b/>
          <w:spacing w:val="0"/>
          <w:color w:val="161A26"/>
        </w:rPr>
        <w:t xml:space="preserve">2. Das Interaktive Proseminar war im Spiel ein KI-Modul — im Katalog ist es keines</w:t>
      </w:r>
    </w:p>
    <w:p>
      <w:pPr>
        <w:spacing w:after="293"/>
      </w:pPr>
      <w:r>
        <w:rPr>
          <w:rFonts w:ascii="Helvetica Neue" w:hAnsi="Helvetica Neue" w:cs="Helvetica Neue"/>
          <w:sz w:val="29"/>
          <w:sz-cs w:val="29"/>
          <w:spacing w:val="0"/>
          <w:color w:val="161A26"/>
        </w:rPr>
        <w:t xml:space="preserve">Der geltende Modulkatalog erwähnt zum IPS künstliche Intelligenz </w:t>
      </w:r>
      <w:r>
        <w:rPr>
          <w:rFonts w:ascii="Helvetica Neue" w:hAnsi="Helvetica Neue" w:cs="Helvetica Neue"/>
          <w:sz w:val="29"/>
          <w:sz-cs w:val="29"/>
          <w:b/>
          <w:spacing w:val="0"/>
          <w:color w:val="161A26"/>
        </w:rPr>
        <w:t xml:space="preserve">an keiner Stelle</w:t>
      </w:r>
      <w:r>
        <w:rPr>
          <w:rFonts w:ascii="Helvetica Neue" w:hAnsi="Helvetica Neue" w:cs="Helvetica Neue"/>
          <w:sz w:val="29"/>
          <w:sz-cs w:val="29"/>
          <w:spacing w:val="0"/>
          <w:color w:val="161A26"/>
        </w:rPr>
        <w:t xml:space="preserve">. Das Spiel hatte daraus faktisch ein KI-Einführungsmodul gemacht. Das ist inhaltlich falsch und hätte gegenüber Studierenden eine Erwartung erzeugt, die das Modul nicht einlöst.</w:t>
      </w:r>
    </w:p>
    <w:p>
      <w:pPr>
        <w:spacing w:after="293"/>
      </w:pPr>
      <w:r>
        <w:rPr>
          <w:rFonts w:ascii="Helvetica Neue" w:hAnsi="Helvetica Neue" w:cs="Helvetica Neue"/>
          <w:sz w:val="29"/>
          <w:sz-cs w:val="29"/>
          <w:spacing w:val="0"/>
          <w:color w:val="161A26"/>
        </w:rPr>
        <w:t xml:space="preserve">Neu steht der Studieneinstieg wieder an erster Stelle — wissenschaftliches Arbeiten, Lesen und Präsentieren von Fachliteratur, Aufbau eines sozialen Netzes im Studium —, und der Umgang mit KI ist einer von vier Bausteinen. Modultext, Lernziele, Quest, Kompetenzzuordnung und Quizfragen wurden entsprechend nachgeführt.</w:t>
      </w:r>
    </w:p>
    <w:p>
      <w:pPr>
        <w:spacing w:after="333"/>
      </w:pPr>
      <w:r>
        <w:rPr>
          <w:rFonts w:ascii="Helvetica Neue" w:hAnsi="Helvetica Neue" w:cs="Helvetica Neue"/>
          <w:sz w:val="33"/>
          <w:sz-cs w:val="33"/>
          <w:b/>
          <w:spacing w:val="0"/>
          <w:color w:val="161A26"/>
        </w:rPr>
        <w:t xml:space="preserve">3. Der Kompetenzpass gab die abgeschaffte Studienordnung aus</w:t>
      </w:r>
    </w:p>
    <w:p>
      <w:pPr>
        <w:spacing w:after="293"/>
      </w:pPr>
      <w:r>
        <w:rPr>
          <w:rFonts w:ascii="Helvetica Neue" w:hAnsi="Helvetica Neue" w:cs="Helvetica Neue"/>
          <w:sz w:val="29"/>
          <w:sz-cs w:val="29"/>
          <w:spacing w:val="0"/>
          <w:color w:val="161A26"/>
        </w:rPr>
        <w:t xml:space="preserve">Studierende können aus dem Spiel einen Kompetenzpass als PDF erzeugen — mit «Ich kann …»-Sätzen, die sich für Bewerbungsunterlagen eignen. Zwei Fehler waren darin:</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Die Sätze zu Bachelor- und Masterarbeit beschrieben noch die </w:t>
      </w:r>
      <w:r>
        <w:rPr>
          <w:rFonts w:ascii="Helvetica Neue" w:hAnsi="Helvetica Neue" w:cs="Helvetica Neue"/>
          <w:sz w:val="29"/>
          <w:sz-cs w:val="29"/>
          <w:b/>
          <w:spacing w:val="0"/>
          <w:color w:val="161A26"/>
        </w:rPr>
        <w:t xml:space="preserve">frühere Form der Abschlussarbeit</w:t>
      </w:r>
      <w:r>
        <w:rPr>
          <w:rFonts w:ascii="Helvetica Neue" w:hAnsi="Helvetica Neue" w:cs="Helvetica Neue"/>
          <w:sz w:val="29"/>
          <w:sz-cs w:val="29"/>
          <w:spacing w:val="0"/>
          <w:color w:val="161A26"/>
        </w:rPr>
        <w:t xml:space="preserve">, obwohl die Neugestaltung (empirisch-methodische Arbeit mit Prozessanhang und mündlicher Prüfung) im Spiel längst umgesetzt war.</w:t>
      </w:r>
    </w:p>
    <w:p>
      <w:pPr>
        <w:ind w:left="720" w:first-line="-720"/>
      </w:pPr>
      <w:r>
        <w:rPr>
          <w:rFonts w:ascii="Helvetica Neue" w:hAnsi="Helvetica Neue" w:cs="Helvetica Neue"/>
          <w:sz w:val="29"/>
          <w:sz-cs w:val="29"/>
          <w:color w:val="161A26"/>
        </w:rPr>
        <w:t xml:space="preserve"/>
        <w:tab/>
        <w:t xml:space="preserve">•</w:t>
        <w:tab/>
        <w:t xml:space="preserve"/>
      </w:r>
      <w:r>
        <w:rPr>
          <w:rFonts w:ascii="Helvetica Neue" w:hAnsi="Helvetica Neue" w:cs="Helvetica Neue"/>
          <w:sz w:val="29"/>
          <w:sz-cs w:val="29"/>
          <w:spacing w:val="0"/>
          <w:color w:val="161A26"/>
        </w:rPr>
        <w:t xml:space="preserve">Ein Kolloquium von zwei ECTS konnte eine Kompetenz auf die höchste Progressionsstufe heben. Studierende hätten damit in ihrem Lebenslauf Stufen behauptet, die sie nicht erworben haben. Neu wird eine Stufe erst erreicht, wenn mindestens 40 Prozent des auf dieser Stufe verfügbaren Umfangs auch tatsächlich gebaut ist.</w:t>
      </w:r>
    </w:p>
    <w:p>
      <w:pPr>
        <w:spacing w:after="293"/>
      </w:pPr>
      <w:r>
        <w:rPr>
          <w:rFonts w:ascii="Helvetica Neue" w:hAnsi="Helvetica Neue" w:cs="Helvetica Neue"/>
          <w:sz w:val="29"/>
          <w:sz-cs w:val="29"/>
          <w:spacing w:val="0"/>
          <w:color w:val="161A26"/>
        </w:rPr>
        <w:t xml:space="preserve">Ausserdem wurden elf fehlerhafte Kompetenzzuordnungen korrigiert, unter anderem in den Modulen 001, 002, 100, 302, 402, 501, 502 und 600.</w:t>
      </w:r>
    </w:p>
    <w:p>
      <w:pPr>
        <w:spacing w:after="333"/>
      </w:pPr>
      <w:r>
        <w:rPr>
          <w:rFonts w:ascii="Helvetica Neue" w:hAnsi="Helvetica Neue" w:cs="Helvetica Neue"/>
          <w:sz w:val="33"/>
          <w:sz-cs w:val="33"/>
          <w:b/>
          <w:spacing w:val="0"/>
          <w:color w:val="161A26"/>
        </w:rPr>
        <w:t xml:space="preserve">4. Die Karriere-Passung reagierte nicht auf die Studienwahl</w:t>
      </w:r>
    </w:p>
    <w:p>
      <w:pPr>
        <w:spacing w:after="293"/>
      </w:pPr>
      <w:r>
        <w:rPr>
          <w:rFonts w:ascii="Helvetica Neue" w:hAnsi="Helvetica Neue" w:cs="Helvetica Neue"/>
          <w:sz w:val="29"/>
          <w:sz-cs w:val="29"/>
          <w:spacing w:val="0"/>
          <w:color w:val="161A26"/>
        </w:rPr>
        <w:t xml:space="preserve">Das Spiel zeigt, wie gut das eigene Kompetenzprofil zu Berufsfeldern passt. Eine Prüfung ergab, dass diese «Passung» rechnerisch identisch war mit dem Studienfortschritt: Sie stieg für alle Wege gleichzeitig und stand bei Vollausbau überall gleich hoch. </w:t>
      </w:r>
      <w:r>
        <w:rPr>
          <w:rFonts w:ascii="Helvetica Neue" w:hAnsi="Helvetica Neue" w:cs="Helvetica Neue"/>
          <w:sz w:val="29"/>
          <w:sz-cs w:val="29"/>
          <w:b/>
          <w:spacing w:val="0"/>
          <w:color w:val="161A26"/>
        </w:rPr>
        <w:t xml:space="preserve">Wahlentscheidungen bewegten sie um null Prozentpunkte.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Das ist für ein Instrument, dessen zentrale Botschaft «deine Wahl macht einen Unterschied» lautet, ein Konstruktionsfehler. Behoben durch drei Eingriffe: Kompetenzen, die man ausschliesslich über eine Wahl erwirbt, zählen nun als Hauptkompetenzen; der Nenner der Berechnung ist fix statt wahlabhängig; und die Passung setzt sich zu 62 Prozent aus der Übereinstimmung der Wahlentscheidungen und zu 38 Prozent aus der Korrelation der Kompetenzprofile zusammen.</w:t>
      </w:r>
    </w:p>
    <w:p>
      <w:pPr>
        <w:spacing w:after="293"/>
      </w:pPr>
      <w:r>
        <w:rPr>
          <w:rFonts w:ascii="Helvetica Neue" w:hAnsi="Helvetica Neue" w:cs="Helvetica Neue"/>
          <w:sz w:val="29"/>
          <w:sz-cs w:val="29"/>
          <w:spacing w:val="0"/>
          <w:color w:val="161A26"/>
        </w:rPr>
        <w:t xml:space="preserve">Das Ergebnis ist nun trennscharf:</w:t>
      </w:r>
    </w:p>
    <w:p>
      <w:pPr/>
      <w:r>
        <w:rPr>
          <w:rFonts w:ascii="Helvetica Neue" w:hAnsi="Helvetica Neue" w:cs="Helvetica Neue"/>
          <w:sz w:val="26"/>
          <w:sz-cs w:val="26"/>
          <w:b/>
          <w:spacing w:val="0"/>
          <w:color w:val="161A26"/>
        </w:rPr>
        <w:t xml:space="preserve">Studienprofil</w:t>
      </w:r>
    </w:p>
    <w:p>
      <w:pPr/>
      <w:r>
        <w:rPr>
          <w:rFonts w:ascii="Helvetica Neue" w:hAnsi="Helvetica Neue" w:cs="Helvetica Neue"/>
          <w:sz w:val="26"/>
          <w:sz-cs w:val="26"/>
          <w:b/>
          <w:spacing w:val="0"/>
          <w:color w:val="161A26"/>
        </w:rPr>
        <w:t xml:space="preserve">Beste drei Wege</w:t>
      </w:r>
    </w:p>
    <w:p>
      <w:pPr/>
      <w:r>
        <w:rPr>
          <w:rFonts w:ascii="Helvetica Neue" w:hAnsi="Helvetica Neue" w:cs="Helvetica Neue"/>
          <w:sz w:val="26"/>
          <w:sz-cs w:val="26"/>
          <w:b/>
          <w:spacing w:val="0"/>
          <w:color w:val="161A26"/>
        </w:rPr>
        <w:t xml:space="preserve">Schwächster Weg</w:t>
      </w:r>
    </w:p>
    <w:p>
      <w:pPr/>
      <w:r>
        <w:rPr>
          <w:rFonts w:ascii="Helvetica Neue" w:hAnsi="Helvetica Neue" w:cs="Helvetica Neue"/>
          <w:sz w:val="26"/>
          <w:sz-cs w:val="26"/>
          <w:spacing w:val="0"/>
          <w:color w:val="161A26"/>
        </w:rPr>
        <w:t xml:space="preserve">Klinisch (HEA, klinische Themen)</w:t>
      </w:r>
    </w:p>
    <w:p>
      <w:pPr/>
      <w:r>
        <w:rPr>
          <w:rFonts w:ascii="Helvetica Neue" w:hAnsi="Helvetica Neue" w:cs="Helvetica Neue"/>
          <w:sz w:val="26"/>
          <w:sz-cs w:val="26"/>
          <w:spacing w:val="0"/>
          <w:color w:val="161A26"/>
        </w:rPr>
        <w:t xml:space="preserve">Psychotherapie 84 %, Klinische Psychologie 83 %, Gesundheitsförderung 81 %</w:t>
      </w:r>
    </w:p>
    <w:p>
      <w:pPr/>
      <w:r>
        <w:rPr>
          <w:rFonts w:ascii="Helvetica Neue" w:hAnsi="Helvetica Neue" w:cs="Helvetica Neue"/>
          <w:sz w:val="26"/>
          <w:sz-cs w:val="26"/>
          <w:spacing w:val="0"/>
          <w:color w:val="161A26"/>
        </w:rPr>
        <w:t xml:space="preserve">Neuropsychologie 14 %</w:t>
      </w:r>
    </w:p>
    <w:p>
      <w:pPr/>
      <w:r>
        <w:rPr>
          <w:rFonts w:ascii="Helvetica Neue" w:hAnsi="Helvetica Neue" w:cs="Helvetica Neue"/>
          <w:sz w:val="26"/>
          <w:sz-cs w:val="26"/>
          <w:spacing w:val="0"/>
          <w:color w:val="161A26"/>
        </w:rPr>
        <w:t xml:space="preserve">Wirtschaftlich (SEOP)</w:t>
      </w:r>
    </w:p>
    <w:p>
      <w:pPr/>
      <w:r>
        <w:rPr>
          <w:rFonts w:ascii="Helvetica Neue" w:hAnsi="Helvetica Neue" w:cs="Helvetica Neue"/>
          <w:sz w:val="26"/>
          <w:sz-cs w:val="26"/>
          <w:spacing w:val="0"/>
          <w:color w:val="161A26"/>
        </w:rPr>
        <w:t xml:space="preserve">Laufbahnberatung 81 %, Arbeits- &amp; Organisationspsychologie 68 %, Gymnasium 67 %</w:t>
      </w:r>
    </w:p>
    <w:p>
      <w:pPr/>
      <w:r>
        <w:rPr>
          <w:rFonts w:ascii="Helvetica Neue" w:hAnsi="Helvetica Neue" w:cs="Helvetica Neue"/>
          <w:sz w:val="26"/>
          <w:sz-cs w:val="26"/>
          <w:spacing w:val="0"/>
          <w:color w:val="161A26"/>
        </w:rPr>
        <w:t xml:space="preserve">Neuropsychologie 6 %</w:t>
      </w:r>
    </w:p>
    <w:p>
      <w:pPr/>
      <w:r>
        <w:rPr>
          <w:rFonts w:ascii="Helvetica Neue" w:hAnsi="Helvetica Neue" w:cs="Helvetica Neue"/>
          <w:sz w:val="26"/>
          <w:sz-cs w:val="26"/>
          <w:spacing w:val="0"/>
          <w:color w:val="161A26"/>
        </w:rPr>
        <w:t xml:space="preserve">Neurokognitiv (DeNC)</w:t>
      </w:r>
    </w:p>
    <w:p>
      <w:pPr/>
      <w:r>
        <w:rPr>
          <w:rFonts w:ascii="Helvetica Neue" w:hAnsi="Helvetica Neue" w:cs="Helvetica Neue"/>
          <w:sz w:val="26"/>
          <w:sz-cs w:val="26"/>
          <w:spacing w:val="0"/>
          <w:color w:val="161A26"/>
        </w:rPr>
        <w:t xml:space="preserve">Promotion 79 %, Neuropsychologie 75 %, Nutzerpsychologie 73 %</w:t>
      </w:r>
    </w:p>
    <w:p>
      <w:pPr/>
      <w:r>
        <w:rPr>
          <w:rFonts w:ascii="Helvetica Neue" w:hAnsi="Helvetica Neue" w:cs="Helvetica Neue"/>
          <w:sz w:val="26"/>
          <w:sz-cs w:val="26"/>
          <w:spacing w:val="0"/>
          <w:color w:val="161A26"/>
        </w:rPr>
        <w:t xml:space="preserve">Klinische Psychologie 9 %</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Neu: zwölf Berufswege mit realistischem Stellenprofil</w:t>
      </w:r>
    </w:p>
    <w:p>
      <w:pPr>
        <w:spacing w:after="293"/>
      </w:pPr>
      <w:r>
        <w:rPr>
          <w:rFonts w:ascii="Helvetica Neue" w:hAnsi="Helvetica Neue" w:cs="Helvetica Neue"/>
          <w:sz w:val="29"/>
          <w:sz-cs w:val="29"/>
          <w:spacing w:val="0"/>
          <w:color w:val="161A26"/>
        </w:rPr>
        <w:t xml:space="preserve">Die Berufswege wurden systematisch aus den Fachbereichen des Studiums neu abgeleitet — nicht aus Vermutungen über einen «Arbeitsmarkt der Zukunft». Drei Wege kamen hinzu, die aus Fachbereichen erwachsen, die bisher nicht abgebildet waren: Gesundheitsförderung und Prävention, Berufs-, Studien- und Laufbahnberatung sowie Markt- und Konsumentenpsychologie. Ein technikgetriebener Weg («Data, Tech &amp; UX») wurde gestrichen und durch Nutzer- und Medienpsychologie ersetzt, die psychologisch statt technologisch begründet ist.</w:t>
      </w:r>
    </w:p>
    <w:p>
      <w:pPr>
        <w:spacing w:after="293"/>
      </w:pPr>
      <w:r>
        <w:rPr>
          <w:rFonts w:ascii="Helvetica Neue" w:hAnsi="Helvetica Neue" w:cs="Helvetica Neue"/>
          <w:sz w:val="29"/>
          <w:sz-cs w:val="29"/>
          <w:b/>
          <w:spacing w:val="0"/>
          <w:color w:val="161A26"/>
        </w:rPr>
        <w:t xml:space="preserve">Genau ein Weg von zwölf ist akademisch</w:t>
      </w:r>
      <w:r>
        <w:rPr>
          <w:rFonts w:ascii="Helvetica Neue" w:hAnsi="Helvetica Neue" w:cs="Helvetica Neue"/>
          <w:sz w:val="29"/>
          <w:sz-cs w:val="29"/>
          <w:spacing w:val="0"/>
          <w:color w:val="161A26"/>
        </w:rPr>
        <w:t xml:space="preserve"> (Promotion und Postdoc). Die anderen elf sind Praxisberufe.</w:t>
      </w:r>
    </w:p>
    <w:p>
      <w:pPr>
        <w:spacing w:after="293"/>
      </w:pPr>
      <w:r>
        <w:rPr>
          <w:rFonts w:ascii="Helvetica Neue" w:hAnsi="Helvetica Neue" w:cs="Helvetica Neue"/>
          <w:sz w:val="29"/>
          <w:sz-cs w:val="29"/>
          <w:spacing w:val="0"/>
          <w:color w:val="161A26"/>
        </w:rPr>
        <w:t xml:space="preserve">Jeder Weg trägt jetzt ein recherchiertes Stellenprofil: die Bezeichnung, unter der die Einstiegsstelle in der Schweiz tatsächlich ausgeschrieben wird, das typische Pensum, die Arbeitgebertypen mit belegten Beispielen, je vier Kernaufgaben und vier Anforderungen aus realen Ausschreibungen, der Einstiegslohn und der Zeitpunkt, ab dem die Stelle erreichbar ist.</w:t>
      </w:r>
    </w:p>
    <w:p>
      <w:pPr>
        <w:spacing w:after="293"/>
      </w:pPr>
      <w:r>
        <w:rPr>
          <w:rFonts w:ascii="Helvetica Neue" w:hAnsi="Helvetica Neue" w:cs="Helvetica Neue"/>
          <w:sz w:val="29"/>
          <w:sz-cs w:val="29"/>
          <w:spacing w:val="0"/>
          <w:color w:val="161A26"/>
        </w:rPr>
        <w:t xml:space="preserve">Vier Befunde daraus verdienen die Aufmerksamkeit der Programmleitung:</w:t>
      </w:r>
    </w:p>
    <w:p>
      <w:pPr>
        <w:spacing w:after="293"/>
      </w:pPr>
      <w:r>
        <w:rPr>
          <w:rFonts w:ascii="Helvetica Neue" w:hAnsi="Helvetica Neue" w:cs="Helvetica Neue"/>
          <w:sz w:val="29"/>
          <w:sz-cs w:val="29"/>
          <w:b/>
          <w:spacing w:val="0"/>
          <w:color w:val="161A26"/>
        </w:rPr>
        <w:t xml:space="preserve">Der Master ist in den meisten Feldern die Eintrittskarte in eine Weiterbildung, nicht in den Beruf.</w:t>
      </w:r>
      <w:r>
        <w:rPr>
          <w:rFonts w:ascii="Helvetica Neue" w:hAnsi="Helvetica Neue" w:cs="Helvetica Neue"/>
          <w:sz w:val="29"/>
          <w:sz-cs w:val="29"/>
          <w:spacing w:val="0"/>
          <w:color w:val="161A26"/>
        </w:rPr>
        <w:t xml:space="preserve"> Nur in der klinischen Psychologie ohne Therapietitel, in der Promotion, in der Arbeits- und Organisationspsychologie und in der Marktforschung ist ein unmittelbarer Vollzugang die Regel. Überall sonst folgt eine postgraduale Weiterbildung von zwei bis sechs Jahren, die die Absolvierenden selbst finanzieren — beim Psychotherapietitel CHF 25 000 bis 48 750.</w:t>
      </w:r>
    </w:p>
    <w:p>
      <w:pPr>
        <w:spacing w:after="293"/>
      </w:pPr>
      <w:r>
        <w:rPr>
          <w:rFonts w:ascii="Helvetica Neue" w:hAnsi="Helvetica Neue" w:cs="Helvetica Neue"/>
          <w:sz w:val="29"/>
          <w:sz-cs w:val="29"/>
          <w:b/>
          <w:spacing w:val="0"/>
          <w:color w:val="161A26"/>
        </w:rPr>
        <w:t xml:space="preserve">Der Lohnabstand ist grösser, als Studierende erwarten.</w:t>
      </w:r>
      <w:r>
        <w:rPr>
          <w:rFonts w:ascii="Helvetica Neue" w:hAnsi="Helvetica Neue" w:cs="Helvetica Neue"/>
          <w:sz w:val="29"/>
          <w:sz-cs w:val="29"/>
          <w:spacing w:val="0"/>
          <w:color w:val="161A26"/>
        </w:rPr>
        <w:t xml:space="preserve"> Die Promotion ist mit CHF 50 504 bei 80 Prozent im ersten Jahr der tiefste Einstieg im ganzen Set — gemeinsam mit UX-Research, was gegen dessen Ruf als lukrativer Ausstieg spricht. Am oberen Ende steht das Gymnasiallehramt: mit Lehrdiplom Lohnklasse 21, Stufe 3, also CHF 120 775 bei vollem Pensum. Beide oberen Felder sind allerdings von hohen Teilzeitanteilen geprägt — das Gymnasium rechnet ohnehin in Pflichtlektionen (23 pro Woche als Vollpensum), und für Einsteigende sind 40 bis 70 Prozent realistisch.</w:t>
      </w:r>
    </w:p>
    <w:p>
      <w:pPr>
        <w:spacing w:after="293"/>
      </w:pPr>
      <w:r>
        <w:rPr>
          <w:rFonts w:ascii="Helvetica Neue" w:hAnsi="Helvetica Neue" w:cs="Helvetica Neue"/>
          <w:sz w:val="29"/>
          <w:sz-cs w:val="29"/>
          <w:b/>
          <w:spacing w:val="0"/>
          <w:color w:val="161A26"/>
        </w:rPr>
        <w:t xml:space="preserve">Zwei Titelwege sind derzeit blockiert oder unsicher.</w:t>
      </w:r>
      <w:r>
        <w:rPr>
          <w:rFonts w:ascii="Helvetica Neue" w:hAnsi="Helvetica Neue" w:cs="Helvetica Neue"/>
          <w:sz w:val="29"/>
          <w:sz-cs w:val="29"/>
          <w:spacing w:val="0"/>
          <w:color w:val="161A26"/>
        </w:rPr>
        <w:t xml:space="preserve"> Der MAS Gesundheitspsychologie der Universität Bern führt erst «nach geplanter Akkreditierung» zum eidgenössischen Fachtitel — die Akkreditierung ist nicht abgeschlossen. Und die Schweizerische Gesellschaft für Rechtspsychologie hat für ihr Fachtitel-Curriculum einen </w:t>
      </w:r>
      <w:r>
        <w:rPr>
          <w:rFonts w:ascii="Helvetica Neue" w:hAnsi="Helvetica Neue" w:cs="Helvetica Neue"/>
          <w:sz w:val="29"/>
          <w:sz-cs w:val="29"/>
          <w:b/>
          <w:spacing w:val="0"/>
          <w:color w:val="161A26"/>
        </w:rPr>
        <w:t xml:space="preserve">Aufnahmestopp</w:t>
      </w:r>
      <w:r>
        <w:rPr>
          <w:rFonts w:ascii="Helvetica Neue" w:hAnsi="Helvetica Neue" w:cs="Helvetica Neue"/>
          <w:sz w:val="29"/>
          <w:sz-cs w:val="29"/>
          <w:spacing w:val="0"/>
          <w:color w:val="161A26"/>
        </w:rPr>
        <w:t xml:space="preserve"> verfügt und prüft die Zukunft des Titels. Beides steht als Warnung in den betreffenden Wegen.</w:t>
      </w:r>
    </w:p>
    <w:p>
      <w:pPr>
        <w:spacing w:after="293"/>
      </w:pPr>
      <w:r>
        <w:rPr>
          <w:rFonts w:ascii="Helvetica Neue" w:hAnsi="Helvetica Neue" w:cs="Helvetica Neue"/>
          <w:sz w:val="29"/>
          <w:sz-cs w:val="29"/>
          <w:b/>
          <w:spacing w:val="0"/>
          <w:color w:val="161A26"/>
        </w:rPr>
        <w:t xml:space="preserve">Wo keine Zahl publiziert ist, steht das im Spiel.</w:t>
      </w:r>
      <w:r>
        <w:rPr>
          <w:rFonts w:ascii="Helvetica Neue" w:hAnsi="Helvetica Neue" w:cs="Helvetica Neue"/>
          <w:sz w:val="29"/>
          <w:sz-cs w:val="29"/>
          <w:spacing w:val="0"/>
          <w:color w:val="161A26"/>
        </w:rPr>
        <w:t xml:space="preserve"> Für Gesundheitspsychologie, Rechtspsychologie, Schulpsychologie und UX-Research existiert kein amtlich belegter Schweizer Einstiegslohn. Statt zu schätzen, weist das Spiel die Belegqualität jeder Lohnangabe aus — gut belegt, mittel belegt oder nicht spezifisch belegbar — und nennt die Quelle.</w:t>
      </w:r>
    </w:p>
    <w:p>
      <w:pPr>
        <w:spacing w:after="293"/>
      </w:pPr>
      <w:r>
        <w:rPr>
          <w:rFonts w:ascii="Helvetica Neue" w:hAnsi="Helvetica Neue" w:cs="Helvetica Neue"/>
          <w:sz w:val="29"/>
          <w:sz-cs w:val="29"/>
          <w:b/>
          <w:spacing w:val="0"/>
          <w:color w:val="161A26"/>
        </w:rPr>
        <w:t xml:space="preserve">Die Angaben wurden gegen sich selbst geprüft.</w:t>
      </w:r>
      <w:r>
        <w:rPr>
          <w:rFonts w:ascii="Helvetica Neue" w:hAnsi="Helvetica Neue" w:cs="Helvetica Neue"/>
          <w:sz w:val="29"/>
          <w:sz-cs w:val="29"/>
          <w:spacing w:val="0"/>
          <w:color w:val="161A26"/>
        </w:rPr>
        <w:t xml:space="preserve"> Sechs unabhängige Prüfinstanzen mit dem ausdrücklichen Auftrag, die Behauptungen zu </w:t>
      </w:r>
      <w:r>
        <w:rPr>
          <w:rFonts w:ascii="Helvetica Neue" w:hAnsi="Helvetica Neue" w:cs="Helvetica Neue"/>
          <w:sz w:val="29"/>
          <w:sz-cs w:val="29"/>
          <w:i/>
          <w:spacing w:val="0"/>
          <w:color w:val="161A26"/>
        </w:rPr>
        <w:t xml:space="preserve">widerlegen</w:t>
      </w:r>
      <w:r>
        <w:rPr>
          <w:rFonts w:ascii="Helvetica Neue" w:hAnsi="Helvetica Neue" w:cs="Helvetica Neue"/>
          <w:sz w:val="29"/>
          <w:sz-cs w:val="29"/>
          <w:spacing w:val="0"/>
          <w:color w:val="161A26"/>
        </w:rPr>
        <w:t xml:space="preserve">, haben 45 Teilaussagen gegen Primärquellen gehalten: 32 wurden bestätigt, 13 mussten präzisiert werden, keine war schlicht falsch. Die gewichtigste Korrektur betraf das Gymnasiallehramt — die zunächst verwendete Lohnklasse 20 gilt für Hochschulabsolvierende </w:t>
      </w:r>
      <w:r>
        <w:rPr>
          <w:rFonts w:ascii="Helvetica Neue" w:hAnsi="Helvetica Neue" w:cs="Helvetica Neue"/>
          <w:sz w:val="29"/>
          <w:sz-cs w:val="29"/>
          <w:i/>
          <w:spacing w:val="0"/>
          <w:color w:val="161A26"/>
        </w:rPr>
        <w:t xml:space="preserve">ohne</w:t>
      </w:r>
      <w:r>
        <w:rPr>
          <w:rFonts w:ascii="Helvetica Neue" w:hAnsi="Helvetica Neue" w:cs="Helvetica Neue"/>
          <w:sz w:val="29"/>
          <w:sz-cs w:val="29"/>
          <w:spacing w:val="0"/>
          <w:color w:val="161A26"/>
        </w:rPr>
        <w:t xml:space="preserve"> Lehrdiplom, und die Zahl stammte aus der Tabelle von 2023. Ebenfalls präzisiert: Der eidgenössische Titel im Feld Schule heisst EA KJP, der MAS ist ein zusätzlicher akademischer Titel derselben Weiterbildung; der MAS Gesundheitspsychologie wird gemeinsam von UZH und Universität Bern getragen; und die genannten Weiterbildungskosten enthalten die obligatorische Supervision durchweg nicht. Das vollständige Korrekturprotokoll steht im Anhang der Recherchegrundlage.</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Was Studierende künftig als Dokument mitnehmen</w:t>
      </w:r>
    </w:p>
    <w:p>
      <w:pPr>
        <w:spacing w:after="293"/>
      </w:pPr>
      <w:r>
        <w:rPr>
          <w:rFonts w:ascii="Helvetica Neue" w:hAnsi="Helvetica Neue" w:cs="Helvetica Neue"/>
          <w:sz w:val="29"/>
          <w:sz-cs w:val="29"/>
          <w:spacing w:val="0"/>
          <w:color w:val="161A26"/>
        </w:rPr>
        <w:t xml:space="preserve">Der Kompetenzpass hat eine dritte Seite bekommen: einen </w:t>
      </w:r>
      <w:r>
        <w:rPr>
          <w:rFonts w:ascii="Helvetica Neue" w:hAnsi="Helvetica Neue" w:cs="Helvetica Neue"/>
          <w:sz w:val="29"/>
          <w:sz-cs w:val="29"/>
          <w:b/>
          <w:spacing w:val="0"/>
          <w:color w:val="161A26"/>
        </w:rPr>
        <w:t xml:space="preserve">Karrieresteckbrief</w:t>
      </w:r>
      <w:r>
        <w:rPr>
          <w:rFonts w:ascii="Helvetica Neue" w:hAnsi="Helvetica Neue" w:cs="Helvetica Neue"/>
          <w:sz w:val="29"/>
          <w:sz-cs w:val="29"/>
          <w:spacing w:val="0"/>
          <w:color w:val="161A26"/>
        </w:rPr>
        <w:t xml:space="preserve">, der je nach Studienwahl anders ausfällt. Er enthält die getroffenen Wahlentscheidungen, den bestpassenden Weg mit vollständigem Stellenprofil, die noch fehlenden Kompetenzstufen, den Weg nach dem Master, zwei Alternativen und die Quellenlage mit Rechtsstand nach dem Psychologieberufegesetz.</w:t>
      </w:r>
    </w:p>
    <w:p>
      <w:pPr>
        <w:spacing w:after="293"/>
      </w:pPr>
      <w:r>
        <w:rPr>
          <w:rFonts w:ascii="Helvetica Neue" w:hAnsi="Helvetica Neue" w:cs="Helvetica Neue"/>
          <w:sz w:val="29"/>
          <w:sz-cs w:val="29"/>
          <w:spacing w:val="0"/>
          <w:color w:val="161A26"/>
        </w:rPr>
        <w:t xml:space="preserve">Damit hat das Spiel drei Ausgaben, die über das Spielen hinaus Bestand haben: das Kompetenzprofil mit Progressionsstufen, die «Ich kann …»-Sätze als Bewerbungsbausteine und den Karrieresteckbrief.</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Bedienung und Zugänglichkeit</w:t>
      </w:r>
    </w:p>
    <w:p>
      <w:pPr>
        <w:spacing w:after="293"/>
      </w:pPr>
      <w:r>
        <w:rPr>
          <w:rFonts w:ascii="Helvetica Neue" w:hAnsi="Helvetica Neue" w:cs="Helvetica Neue"/>
          <w:sz w:val="29"/>
          <w:sz-cs w:val="29"/>
          <w:spacing w:val="0"/>
          <w:color w:val="161A26"/>
        </w:rPr>
        <w:t xml:space="preserve">Die Modulkarte, in der Lernziele, Prüfungslogik und Quests stehen, war zu klein: Auf flachen Bildschirmen blieben dem Text nach Abzug von Kopfzeile, Reitern, Rückmeldezeile und Aktionsleiste nur wenige Pixel. Sie ist jetzt in drei Stufen aufziehbar — über einen Ziehgriff, einen Knopf, Doppelklick auf den Titel oder die Pfeiltasten. Der Lesebereich wuchs von rund 160 auf 385 Pixel am Rechner und auf 331 Pixel am Mobilgerät. Ein Verlauf am unteren Rand zeigt an, wenn noch Text folgt.</w:t>
      </w:r>
    </w:p>
    <w:p>
      <w:pPr>
        <w:spacing w:after="293"/>
      </w:pPr>
      <w:r>
        <w:rPr>
          <w:rFonts w:ascii="Helvetica Neue" w:hAnsi="Helvetica Neue" w:cs="Helvetica Neue"/>
          <w:sz w:val="29"/>
          <w:sz-cs w:val="29"/>
          <w:spacing w:val="0"/>
          <w:color w:val="161A26"/>
        </w:rPr>
        <w:t xml:space="preserve">Ergänzend: Tippflächen von mindestens 40 Pixeln auch auf schmalen Fenstern, Berücksichtigung der Systemeinstellung für reduzierte Bewegung, angehobene Textkontraste. Ein Fehler, bei dem der Besuchermodus den eigenen Spielstand überschreiben konnte, ist behoben.</w:t>
      </w:r>
    </w:p>
    <w:p>
      <w:pPr>
        <w:spacing w:after="333"/>
      </w:pPr>
      <w:r>
        <w:rPr>
          <w:rFonts w:ascii="Helvetica Neue" w:hAnsi="Helvetica Neue" w:cs="Helvetica Neue"/>
          <w:sz w:val="33"/>
          <w:sz-cs w:val="33"/>
          <w:b/>
          <w:spacing w:val="0"/>
          <w:color w:val="161A26"/>
        </w:rPr>
        <w:t xml:space="preserve">Ein zweiter Weg hinein: die Listenansicht</w:t>
      </w:r>
    </w:p>
    <w:p>
      <w:pPr>
        <w:spacing w:after="293"/>
      </w:pPr>
      <w:r>
        <w:rPr>
          <w:rFonts w:ascii="Helvetica Neue" w:hAnsi="Helvetica Neue" w:cs="Helvetica Neue"/>
          <w:sz w:val="29"/>
          <w:sz-cs w:val="29"/>
          <w:spacing w:val="0"/>
          <w:color w:val="161A26"/>
        </w:rPr>
        <w:t xml:space="preserve">Bis Version 13.5 führte genau ein Weg zum Kompetenzprofil — das dreidimensionale Haus. Das ist eine stillschweigende Zugangsvoraussetzung: Wer mit Drehen und Zoomen nichts anfangen kann, wer mit Tastatur oder Screenreader arbeitet, wer auf einem Gerät ohne 3D-Beschleunigung sitzt oder wer den Studienplan schlicht lieber liest als begeht, kam nicht ans Ziel. Ein Lernangebot, das nur über eine spielerische Oberfläche zugänglich ist, schliesst genau die Studierenden aus, die es am nüchternsten nutzen würden.</w:t>
      </w:r>
    </w:p>
    <w:p>
      <w:pPr>
        <w:spacing w:after="293"/>
      </w:pPr>
      <w:r>
        <w:rPr>
          <w:rFonts w:ascii="Helvetica Neue" w:hAnsi="Helvetica Neue" w:cs="Helvetica Neue"/>
          <w:sz w:val="29"/>
          <w:sz-cs w:val="29"/>
          <w:spacing w:val="0"/>
          <w:color w:val="161A26"/>
        </w:rPr>
        <w:t xml:space="preserve">Ein Knopf in der Kopfleiste zeigt deshalb jetzt denselben Stand als Dokument: Fortschritt in ECTS und belegten Bausteinen, das vollständige Kompetenzprofil mit aufklappbarem Detail je Kompetenz (erreichte Stufe, aufbauende Module, Formulierungshilfe für den Lebenslauf), und den Studienplan als Tabelle je Semester mit Status, Modulart, ECTS, Progressionsstufe, Prüfungslogik und den trainierten Kompetenzen. Bausteine lassen sich dort ebenso setzen und entfernen wie im Haus; wo eine Wahl dazugehört — Schwerpunkt, Modulvariante, Seminarthema, Fragestellung der Bachelorarbeit — öffnet sich die Modulkarte, damit nichts unbemerkt vorentschieden wird. Es ist kein zweiter Datenstand, sondern dieselbe Ansicht auf denselben Spielstand: Was in der Liste geändert wird, steht sofort im Haus und umgekehrt.</w:t>
      </w:r>
    </w:p>
    <w:p>
      <w:pPr>
        <w:spacing w:after="293"/>
      </w:pPr>
      <w:r>
        <w:rPr>
          <w:rFonts w:ascii="Helvetica Neue" w:hAnsi="Helvetica Neue" w:cs="Helvetica Neue"/>
          <w:sz w:val="29"/>
          <w:sz-cs w:val="29"/>
          <w:spacing w:val="0"/>
          <w:color w:val="161A26"/>
        </w:rPr>
        <w:t xml:space="preserve">Die Ansicht ist vollständig mit der Tastatur bedienbar, für Screenreader ausgezeichnet (Tabellen mit Beschriftung und Spaltenköpfen, das 3D-Bild in dieser Ansicht ausgeblendet) und </w:t>
      </w:r>
      <w:r>
        <w:rPr>
          <w:rFonts w:ascii="Helvetica Neue" w:hAnsi="Helvetica Neue" w:cs="Helvetica Neue"/>
          <w:sz w:val="29"/>
          <w:sz-cs w:val="29"/>
          <w:b/>
          <w:spacing w:val="0"/>
          <w:color w:val="161A26"/>
        </w:rPr>
        <w:t xml:space="preserve">druckbar</w:t>
      </w:r>
      <w:r>
        <w:rPr>
          <w:rFonts w:ascii="Helvetica Neue" w:hAnsi="Helvetica Neue" w:cs="Helvetica Neue"/>
          <w:sz w:val="29"/>
          <w:sz-cs w:val="29"/>
          <w:spacing w:val="0"/>
          <w:color w:val="161A26"/>
        </w:rPr>
        <w:t xml:space="preserve"> — was sie zugleich zur einfachsten Art macht, den eigenen Studienstand in ein Beratungsgespräch mitzunehmen. Auf dem Telefon wird aus jeder Tabellenzeile eine Karte, weil eine achtspaltige Tabelle auf 340 Pixel Breite unlesbar ist.</w:t>
      </w:r>
    </w:p>
    <w:p>
      <w:pPr>
        <w:spacing w:after="293"/>
      </w:pPr>
      <w:r>
        <w:rPr>
          <w:rFonts w:ascii="Helvetica Neue" w:hAnsi="Helvetica Neue" w:cs="Helvetica Neue"/>
          <w:sz w:val="29"/>
          <w:sz-cs w:val="29"/>
          <w:spacing w:val="0"/>
          <w:color w:val="161A26"/>
        </w:rPr>
        <w:t xml:space="preserve">Nebeneffekt mit eigenem Gewicht: Fiel die 3D-Darstellung aus, startete das Spiel bisher überhaupt nicht — der Bildschirm blieb bei einer Fehlermeldung stehen. Das betrifft ältere Geräte, restriktive Gerätekonfigurationen und die In-App-Browser mancher Plattformen. Jetzt läuft die Anwendung ohne 3D vollständig weiter und öffnet die Listenansicht mit einer kurzen Erklärung. Fehlende 3D-Beschleunigung ist damit kein Ausschluss mehr, sondern eine Ansicht weniger.</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Übungsgespräche mit Feedback — und wo die Grenze liegt</w:t>
      </w:r>
    </w:p>
    <w:p>
      <w:pPr>
        <w:spacing w:after="293"/>
      </w:pPr>
      <w:r>
        <w:rPr>
          <w:rFonts w:ascii="Helvetica Neue" w:hAnsi="Helvetica Neue" w:cs="Helvetica Neue"/>
          <w:sz w:val="29"/>
          <w:sz-cs w:val="29"/>
          <w:spacing w:val="0"/>
          <w:color w:val="161A26"/>
        </w:rPr>
        <w:t xml:space="preserve">Der KI-Begleiter enthält Fallgespräche, in denen Studierende die Fachrolle führen und die KI eine fiktive Gegenrolle spielt. Diese sind zu einem Übungsgerät ausgebaut worden, dessen Aufbau der Beobachtungspraxis der klinischen Ausbildung folgt (MITI, Calgary-Cambridge, CTS-R, Debriefing-Didaktik): Fünf Beobachtungsdimensionen stehen </w:t>
      </w:r>
      <w:r>
        <w:rPr>
          <w:rFonts w:ascii="Helvetica Neue" w:hAnsi="Helvetica Neue" w:cs="Helvetica Neue"/>
          <w:sz w:val="29"/>
          <w:sz-cs w:val="29"/>
          <w:b/>
          <w:spacing w:val="0"/>
          <w:color w:val="161A26"/>
        </w:rPr>
        <w:t xml:space="preserve">vor</w:t>
      </w:r>
      <w:r>
        <w:rPr>
          <w:rFonts w:ascii="Helvetica Neue" w:hAnsi="Helvetica Neue" w:cs="Helvetica Neue"/>
          <w:sz w:val="29"/>
          <w:sz-cs w:val="29"/>
          <w:spacing w:val="0"/>
          <w:color w:val="161A26"/>
        </w:rPr>
        <w:t xml:space="preserve"> dem Gespräch fest, die Studierenden wählen einen eigenen Schwerpunkt, schätzen sich nach dem Gespräch </w:t>
      </w:r>
      <w:r>
        <w:rPr>
          <w:rFonts w:ascii="Helvetica Neue" w:hAnsi="Helvetica Neue" w:cs="Helvetica Neue"/>
          <w:sz w:val="29"/>
          <w:sz-cs w:val="29"/>
          <w:b/>
          <w:spacing w:val="0"/>
          <w:color w:val="161A26"/>
        </w:rPr>
        <w:t xml:space="preserve">zuerst selbst</w:t>
      </w:r>
      <w:r>
        <w:rPr>
          <w:rFonts w:ascii="Helvetica Neue" w:hAnsi="Helvetica Neue" w:cs="Helvetica Neue"/>
          <w:sz w:val="29"/>
          <w:sz-cs w:val="29"/>
          <w:spacing w:val="0"/>
          <w:color w:val="161A26"/>
        </w:rPr>
        <w:t xml:space="preserve"> ein und erhalten erst danach die Rückmeldung — die ausdrücklich auch benennt, wo die Selbsteinschätzung strenger war als nötig. Jede Szene lässt sich mit identischem Eröffnungszug wiederholen, und das Ergebnis kann als Text in die menschliche Supervision mitgenommen werden.</w:t>
      </w:r>
    </w:p>
    <w:p>
      <w:pPr>
        <w:spacing w:after="293"/>
      </w:pPr>
      <w:r>
        <w:rPr>
          <w:rFonts w:ascii="Helvetica Neue" w:hAnsi="Helvetica Neue" w:cs="Helvetica Neue"/>
          <w:sz w:val="29"/>
          <w:sz-cs w:val="29"/>
          <w:b/>
          <w:spacing w:val="0"/>
          <w:color w:val="161A26"/>
        </w:rPr>
        <w:t xml:space="preserve">Die Grenze ist bewusst hart gezogen:</w:t>
      </w:r>
      <w:r>
        <w:rPr>
          <w:rFonts w:ascii="Helvetica Neue" w:hAnsi="Helvetica Neue" w:cs="Helvetica Neue"/>
          <w:sz w:val="29"/>
          <w:sz-cs w:val="29"/>
          <w:spacing w:val="0"/>
          <w:color w:val="161A26"/>
        </w:rPr>
        <w:t xml:space="preserve"> keine Zahlen, Punkte, Noten oder Eignungsaussagen, keine Adjektive über die Person, keine Aussagen zu Stimme, Mimik oder Tempo — ein Textchat zeigt davon nichts. In jedem Rückmeldeblock steht fest: „Übungsrückmeldung im Spiel. Keine Studienleistung, keine Beurteilung deiner Person, keine Grundlage für Noten." Das ist nicht nur Didaktik: Nach der EU-Verordnung 2024/1689 (AI Act, Anhang III) zählt die Bewertung von Lernergebnissen als Hochrisiko-Anwendung. Die beurteilende Instanz bleibt ein Mensch; die KI liefert Übungsmaterial.</w:t>
      </w:r>
    </w:p>
    <w:p>
      <w:pPr>
        <w:spacing w:after="293"/>
      </w:pPr>
      <w:r>
        <w:rPr>
          <w:rFonts w:ascii="Helvetica Neue" w:hAnsi="Helvetica Neue" w:cs="Helvetica Neue"/>
          <w:sz w:val="29"/>
          <w:sz-cs w:val="29"/>
          <w:spacing w:val="0"/>
          <w:color w:val="161A26"/>
        </w:rPr>
        <w:t xml:space="preserve">Krisenthemen führen zu einem eigenen, </w:t>
      </w:r>
      <w:r>
        <w:rPr>
          <w:rFonts w:ascii="Helvetica Neue" w:hAnsi="Helvetica Neue" w:cs="Helvetica Neue"/>
          <w:sz w:val="29"/>
          <w:sz-cs w:val="29"/>
          <w:b/>
          <w:spacing w:val="0"/>
          <w:color w:val="161A26"/>
        </w:rPr>
        <w:t xml:space="preserve">fest formulierten</w:t>
      </w:r>
      <w:r>
        <w:rPr>
          <w:rFonts w:ascii="Helvetica Neue" w:hAnsi="Helvetica Neue" w:cs="Helvetica Neue"/>
          <w:sz w:val="29"/>
          <w:sz-cs w:val="29"/>
          <w:spacing w:val="0"/>
          <w:color w:val="161A26"/>
        </w:rPr>
        <w:t xml:space="preserve"> Sicherheitshinweis mit 143, 147, 144 und der Beratungsstelle der UZH — nicht zu einer generierten Antwort.</w:t>
      </w:r>
    </w:p>
    <w:p>
      <w:pPr>
        <w:spacing w:after="331"/>
      </w:pPr>
      <w:r>
        <w:rPr>
          <w:rFonts w:ascii="Helvetica Neue" w:hAnsi="Helvetica Neue" w:cs="Helvetica Neue"/>
          <w:sz w:val="40"/>
          <w:sz-cs w:val="40"/>
          <w:b/>
          <w:spacing w:val="0"/>
          <w:color w:val="001394"/>
        </w:rPr>
        <w:t xml:space="preserve">Ein Befund aus dem neuen Statik-Check</w:t>
      </w:r>
    </w:p>
    <w:p>
      <w:pPr>
        <w:spacing w:after="293"/>
      </w:pPr>
      <w:r>
        <w:rPr>
          <w:rFonts w:ascii="Helvetica Neue" w:hAnsi="Helvetica Neue" w:cs="Helvetica Neue"/>
          <w:sz w:val="29"/>
          <w:sz-cs w:val="29"/>
          <w:spacing w:val="0"/>
          <w:color w:val="161A26"/>
        </w:rPr>
        <w:t xml:space="preserve">Das Spiel enthält neu einen Statik-Check, der die Prüfungslogik des gebauten Hauses gegen die Two-Lane-Regel hält: Ist jede Fachkompetenz mindestens einmal </w:t>
      </w:r>
      <w:r>
        <w:rPr>
          <w:rFonts w:ascii="Helvetica Neue" w:hAnsi="Helvetica Neue" w:cs="Helvetica Neue"/>
          <w:sz w:val="29"/>
          <w:sz-cs w:val="29"/>
          <w:b/>
          <w:spacing w:val="0"/>
          <w:color w:val="161A26"/>
        </w:rPr>
        <w:t xml:space="preserve">KI-frei</w:t>
      </w:r>
      <w:r>
        <w:rPr>
          <w:rFonts w:ascii="Helvetica Neue" w:hAnsi="Helvetica Neue" w:cs="Helvetica Neue"/>
          <w:sz w:val="29"/>
          <w:sz-cs w:val="29"/>
          <w:spacing w:val="0"/>
          <w:color w:val="161A26"/>
        </w:rPr>
        <w:t xml:space="preserve"> nachgewiesen, und wird jede KI-Kompetenz mindestens einmal dort geprüft, wo KI tatsächlich vorkommt?</w:t>
      </w:r>
    </w:p>
    <w:p>
      <w:pPr>
        <w:spacing w:after="293"/>
      </w:pPr>
      <w:r>
        <w:rPr>
          <w:rFonts w:ascii="Helvetica Neue" w:hAnsi="Helvetica Neue" w:cs="Helvetica Neue"/>
          <w:sz w:val="29"/>
          <w:sz-cs w:val="29"/>
          <w:spacing w:val="0"/>
          <w:color w:val="161A26"/>
        </w:rPr>
        <w:t xml:space="preserve">Beim ersten Lauf über das vollständig gebaute Haus bleibt genau eine Lücke, und sie ist curricular, nicht technisch: </w:t>
      </w:r>
      <w:r>
        <w:rPr>
          <w:rFonts w:ascii="Helvetica Neue" w:hAnsi="Helvetica Neue" w:cs="Helvetica Neue"/>
          <w:sz w:val="29"/>
          <w:sz-cs w:val="29"/>
          <w:b/>
          <w:spacing w:val="0"/>
          <w:color w:val="161A26"/>
        </w:rPr>
        <w:t xml:space="preserve">Fa10 Selbstmanagement wird von sieben Modulen aufgebaut — und keines davon hat einen KI-freien Prüfungsanteil.</w:t>
      </w:r>
      <w:r>
        <w:rPr>
          <w:rFonts w:ascii="Helvetica Neue" w:hAnsi="Helvetica Neue" w:cs="Helvetica Neue"/>
          <w:sz w:val="29"/>
          <w:sz-cs w:val="29"/>
          <w:spacing w:val="0"/>
          <w:color w:val="161A26"/>
        </w:rPr>
        <w:t xml:space="preserve"> Alle sieben sind [B] oder [B/C]; im Interaktiven Proseminar und im Praktikum ist Selbstmanagement sogar als Hauptkompetenz geführt.</w:t>
      </w:r>
    </w:p>
    <w:p>
      <w:pPr>
        <w:spacing w:after="293"/>
      </w:pPr>
      <w:r>
        <w:rPr>
          <w:rFonts w:ascii="Helvetica Neue" w:hAnsi="Helvetica Neue" w:cs="Helvetica Neue"/>
          <w:sz w:val="29"/>
          <w:sz-cs w:val="29"/>
          <w:spacing w:val="0"/>
          <w:color w:val="161A26"/>
        </w:rPr>
        <w:t xml:space="preserve">Ob das ein Mangel ist, ist eine fachliche Frage an die Programmleitung. Zwei Lesarten sind vertretbar: Entweder gilt Selbstmanagement als Kernfertigkeit, die auch ohne Werkzeug belegt sein sollte — dann fehlt ein KI-freier Nachweis. Oder es gilt als prozessbezogene Kompetenz, die sich ohnehin nur im begleiteten Tun zeigt — dann greift die Two-Lane-Regel hier anders als bei Methoden- oder Diagnostikkompetenz, und die Zuordnung zu den Fachkompetenzen wäre zu überdenken.</w:t>
      </w:r>
    </w:p>
    <w:p>
      <w:pPr>
        <w:spacing w:after="293"/>
      </w:pPr>
      <w:r>
        <w:rPr>
          <w:rFonts w:ascii="Helvetica Neue" w:hAnsi="Helvetica Neue" w:cs="Helvetica Neue"/>
          <w:sz w:val="29"/>
          <w:sz-cs w:val="29"/>
          <w:spacing w:val="0"/>
          <w:color w:val="161A26"/>
        </w:rPr>
        <w:t xml:space="preserve">Der Punkt für die Programmarbeit ist nicht die Antwort, sondern dass die Frage bisher nicht sichtbar war.</w:t>
      </w:r>
    </w:p>
    <w:p>
      <w:pPr>
        <w:spacing w:after="331"/>
      </w:pPr>
      <w:r>
        <w:rPr>
          <w:rFonts w:ascii="Helvetica Neue" w:hAnsi="Helvetica Neue" w:cs="Helvetica Neue"/>
          <w:sz w:val="40"/>
          <w:sz-cs w:val="40"/>
          <w:b/>
          <w:spacing w:val="0"/>
          <w:color w:val="001394"/>
        </w:rPr>
        <w:t xml:space="preserve">Was das für die Programmarbeit bedeutet</w:t>
      </w:r>
    </w:p>
    <w:p>
      <w:pPr>
        <w:spacing w:after="293"/>
      </w:pPr>
      <w:r>
        <w:rPr>
          <w:rFonts w:ascii="Helvetica Neue" w:hAnsi="Helvetica Neue" w:cs="Helvetica Neue"/>
          <w:sz w:val="29"/>
          <w:sz-cs w:val="29"/>
          <w:spacing w:val="0"/>
          <w:color w:val="161A26"/>
        </w:rPr>
        <w:t xml:space="preserve">Drei Punkte, bei denen das Spiel auf Entscheidungen der Programmleitung trifft:</w:t>
      </w:r>
    </w:p>
    <w:p>
      <w:pPr>
        <w:spacing w:after="293"/>
      </w:pPr>
      <w:r>
        <w:rPr>
          <w:rFonts w:ascii="Helvetica Neue" w:hAnsi="Helvetica Neue" w:cs="Helvetica Neue"/>
          <w:sz w:val="29"/>
          <w:sz-cs w:val="29"/>
          <w:b/>
          <w:spacing w:val="0"/>
          <w:color w:val="161A26"/>
        </w:rPr>
        <w:t xml:space="preserve">Das Interaktive Proseminar.</w:t>
      </w:r>
      <w:r>
        <w:rPr>
          <w:rFonts w:ascii="Helvetica Neue" w:hAnsi="Helvetica Neue" w:cs="Helvetica Neue"/>
          <w:sz w:val="29"/>
          <w:sz-cs w:val="29"/>
          <w:spacing w:val="0"/>
          <w:color w:val="161A26"/>
        </w:rPr>
        <w:t xml:space="preserve"> Der Befund, dass der Katalogtext KI nicht erwähnt, ist keine Kritik am Modul, sondern eine offene Frage: Wenn KI-Kompetenz im Studieneinstieg verankert werden soll, braucht es eine Entscheidung darüber, in welchem Umfang — und dann eine Anpassung der Modulbeschreibung. Bis dahin bildet das Spiel den Katalog ab.</w:t>
      </w:r>
    </w:p>
    <w:p>
      <w:pPr>
        <w:spacing w:after="293"/>
      </w:pPr>
      <w:r>
        <w:rPr>
          <w:rFonts w:ascii="Helvetica Neue" w:hAnsi="Helvetica Neue" w:cs="Helvetica Neue"/>
          <w:sz w:val="29"/>
          <w:sz-cs w:val="29"/>
          <w:b/>
          <w:spacing w:val="0"/>
          <w:color w:val="161A26"/>
        </w:rPr>
        <w:t xml:space="preserve">Die Aussagen zur Berufslaufbahn.</w:t>
      </w:r>
      <w:r>
        <w:rPr>
          <w:rFonts w:ascii="Helvetica Neue" w:hAnsi="Helvetica Neue" w:cs="Helvetica Neue"/>
          <w:sz w:val="29"/>
          <w:sz-cs w:val="29"/>
          <w:spacing w:val="0"/>
          <w:color w:val="161A26"/>
        </w:rPr>
        <w:t xml:space="preserve"> Das Spiel macht Angaben zu Löhnen, Weiterbildungskosten und Titelwegen, die Studierende als Orientierung nehmen werden. Sie sind mit Quellen belegt und mit Stand Juli/August 2026 datiert, aber sie veralten. Es braucht eine Festlegung, wer diese Angaben in welchem Rhythmus nachführt — und ob das Institut sie in dieser Form verantworten will.</w:t>
      </w:r>
    </w:p>
    <w:p>
      <w:pPr>
        <w:spacing w:after="293"/>
      </w:pPr>
      <w:r>
        <w:rPr>
          <w:rFonts w:ascii="Helvetica Neue" w:hAnsi="Helvetica Neue" w:cs="Helvetica Neue"/>
          <w:sz w:val="29"/>
          <w:sz-cs w:val="29"/>
          <w:b/>
          <w:spacing w:val="0"/>
          <w:color w:val="161A26"/>
        </w:rPr>
        <w:t xml:space="preserve">Die Prüfungslogik als Lerninhalt.</w:t>
      </w:r>
      <w:r>
        <w:rPr>
          <w:rFonts w:ascii="Helvetica Neue" w:hAnsi="Helvetica Neue" w:cs="Helvetica Neue"/>
          <w:sz w:val="29"/>
          <w:sz-cs w:val="29"/>
          <w:spacing w:val="0"/>
          <w:color w:val="161A26"/>
        </w:rPr>
        <w:t xml:space="preserve"> Dass 81 Prozent der dritten Fragen die Prüfungskategorien abfragten, war ein Konstruktionsfehler des Spiels. Die dahinterliegende Frage bleibt aber: Sollen Studierende die Logik von KI-freien, teilintegrierten und KI-integrierten Prüfungsformen explizit lernen? Falls ja, gehört das an eine eigene Stelle im Curriculum und nicht verteilt in 42 Modulquiz.</w:t>
      </w:r>
    </w:p>
    <w:p>
      <w:pPr>
        <w:spacing w:after="293"/>
      </w:pPr>
      <w:r>
        <w:rPr>
          <w:rFonts w:ascii="Helvetica Neue" w:hAnsi="Helvetica Neue" w:cs="Helvetica Neue"/>
          <w:sz w:val="29"/>
          <w:sz-cs w:val="29"/>
          <w:b/>
          <w:spacing w:val="0"/>
          <w:color w:val="161A26"/>
        </w:rPr>
        <w:t xml:space="preserve">Die Lernziele selbst.</w:t>
      </w:r>
      <w:r>
        <w:rPr>
          <w:rFonts w:ascii="Helvetica Neue" w:hAnsi="Helvetica Neue" w:cs="Helvetica Neue"/>
          <w:sz w:val="29"/>
          <w:sz-cs w:val="29"/>
          <w:spacing w:val="0"/>
          <w:color w:val="161A26"/>
        </w:rPr>
        <w:t xml:space="preserve"> Der Befund oben — 91 Beanstandungen bei 172 Lernzielen, ein Viertel der Lernzielplätze mit Abgabeformalia belegt — betrifft die Modulbeschreibungen, nicht nur ihre Spielfassung. Die überarbeiteten Formulierungen liegen im Modulkatalog der Zukunft vollständig vor und lassen sich als Vorlage für eine Revision nutzen. Ob das gewollt ist, entscheidet die Programmleitung.</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Zugang</w:t>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Spiel:</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https://gpochs.github.io/kompetenzhaus-psychologie-uzh/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Quellcode: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https://github.com/gpochs/kompetenzhaus-psychologie-uzh</w:t>
      </w:r>
      <w:r>
        <w:rPr>
          <w:rFonts w:ascii="Helvetica Neue" w:hAnsi="Helvetica Neue" w:cs="Helvetica Neue"/>
          <w:sz w:val="29"/>
          <w:sz-cs w:val="29"/>
          <w:spacing w:val="0"/>
          <w:color w:val="161A26"/>
        </w:rPr>
        <w:t xml:space="preserve"/>
      </w:r>
    </w:p>
    <w:p>
      <w:pPr>
        <w:ind w:left="720" w:first-line="-720"/>
      </w:pPr>
      <w:r>
        <w:rPr>
          <w:rFonts w:ascii="Helvetica Neue" w:hAnsi="Helvetica Neue" w:cs="Helvetica Neue"/>
          <w:sz w:val="29"/>
          <w:sz-cs w:val="29"/>
          <w:b/>
          <w:color w:val="161A26"/>
        </w:rPr>
        <w:t xml:space="preserve"/>
        <w:tab/>
        <w:t xml:space="preserve">•</w:t>
        <w:tab/>
        <w:t xml:space="preserve"/>
      </w:r>
      <w:r>
        <w:rPr>
          <w:rFonts w:ascii="Helvetica Neue" w:hAnsi="Helvetica Neue" w:cs="Helvetica Neue"/>
          <w:sz w:val="29"/>
          <w:sz-cs w:val="29"/>
          <w:b/>
          <w:spacing w:val="0"/>
          <w:color w:val="161A26"/>
        </w:rPr>
        <w:t xml:space="preserve">Rückmeldungen:</w:t>
      </w:r>
      <w:r>
        <w:rPr>
          <w:rFonts w:ascii="Helvetica Neue" w:hAnsi="Helvetica Neue" w:cs="Helvetica Neue"/>
          <w:sz w:val="29"/>
          <w:sz-cs w:val="29"/>
          <w:spacing w:val="0"/>
          <w:color w:val="161A26"/>
        </w:rPr>
        <w:t xml:space="preserve"> In jeder Modulkarte steht eine Ampel (grün / gelb / rot) mit Freitextfeld. Die Rückmeldungen bleiben lokal im Browser und lassen sich als CSV exportieren — sie sind für die Validierungsschiene des ULF-Projekts gedacht.</w:t>
      </w:r>
    </w:p>
    <w:p>
      <w:pPr/>
      <w:r>
        <w:rPr>
          <w:rFonts w:ascii="Helvetica Neue" w:hAnsi="Helvetica Neue" w:cs="Helvetica Neue"/>
          <w:sz w:val="29"/>
          <w:sz-cs w:val="29"/>
          <w:spacing w:val="0"/>
          <w:color w:val="6D6D6D"/>
        </w:rPr>
        <w:t xml:space="preserve"/>
      </w:r>
    </w:p>
    <w:p>
      <w:pPr>
        <w:spacing w:after="331"/>
      </w:pPr>
      <w:r>
        <w:rPr>
          <w:rFonts w:ascii="Helvetica Neue" w:hAnsi="Helvetica Neue" w:cs="Helvetica Neue"/>
          <w:sz w:val="40"/>
          <w:sz-cs w:val="40"/>
          <w:b/>
          <w:spacing w:val="0"/>
          <w:color w:val="001394"/>
        </w:rPr>
        <w:t xml:space="preserve">Literatur</w:t>
      </w:r>
    </w:p>
    <w:p>
      <w:pPr>
        <w:spacing w:after="293"/>
      </w:pPr>
      <w:r>
        <w:rPr>
          <w:rFonts w:ascii="Helvetica Neue" w:hAnsi="Helvetica Neue" w:cs="Helvetica Neue"/>
          <w:sz w:val="29"/>
          <w:sz-cs w:val="29"/>
          <w:spacing w:val="0"/>
          <w:color w:val="161A26"/>
        </w:rPr>
        <w:t xml:space="preserve">Bundesamt für Gesundheit. (o. D.). </w:t>
      </w:r>
      <w:r>
        <w:rPr>
          <w:rFonts w:ascii="Helvetica Neue" w:hAnsi="Helvetica Neue" w:cs="Helvetica Neue"/>
          <w:sz w:val="29"/>
          <w:sz-cs w:val="29"/>
          <w:i/>
          <w:spacing w:val="0"/>
          <w:color w:val="161A26"/>
        </w:rPr>
        <w:t xml:space="preserve">Häufige Fragen (FAQ) zum Psychologieberufegesetz (PsyG)</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https://www.bag.admin.ch/de/haeufige-fragen-faq-zum-psychologieberufegesetz-psyg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Corbin, T., Dawson, P., Nicola-Richmond, K., &amp; Partridge, H. (2025). «Where's the line? It's an absurd line»: Towards a framework for acceptable uses of AI in assessment. </w:t>
      </w:r>
      <w:r>
        <w:rPr>
          <w:rFonts w:ascii="Helvetica Neue" w:hAnsi="Helvetica Neue" w:cs="Helvetica Neue"/>
          <w:sz w:val="29"/>
          <w:sz-cs w:val="29"/>
          <w:i/>
          <w:spacing w:val="0"/>
          <w:color w:val="161A26"/>
        </w:rPr>
        <w:t xml:space="preserve">Assessment &amp; Evaluation in Higher Education</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https://doi.org/10.1080/02602938.2025.2456207</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Dawson, P., Bearman, M., Dollinger, M., &amp; Boud, D. (2024). Validity matters more than cheating. </w:t>
      </w:r>
      <w:r>
        <w:rPr>
          <w:rFonts w:ascii="Helvetica Neue" w:hAnsi="Helvetica Neue" w:cs="Helvetica Neue"/>
          <w:sz w:val="29"/>
          <w:sz-cs w:val="29"/>
          <w:i/>
          <w:spacing w:val="0"/>
          <w:color w:val="161A26"/>
        </w:rPr>
        <w:t xml:space="preserve">Assessment &amp; Evaluation in Higher Education, 49</w:t>
      </w:r>
      <w:r>
        <w:rPr>
          <w:rFonts w:ascii="Helvetica Neue" w:hAnsi="Helvetica Neue" w:cs="Helvetica Neue"/>
          <w:sz w:val="29"/>
          <w:sz-cs w:val="29"/>
          <w:spacing w:val="0"/>
          <w:color w:val="161A26"/>
        </w:rPr>
        <w:t xml:space="preserve">(7), 1005–1016. </w:t>
      </w:r>
      <w:r>
        <w:rPr>
          <w:rFonts w:ascii="Helvetica Neue" w:hAnsi="Helvetica Neue" w:cs="Helvetica Neue"/>
          <w:sz w:val="29"/>
          <w:sz-cs w:val="29"/>
          <w:u w:val="single"/>
          <w:spacing w:val="0"/>
          <w:color w:val="0000E9"/>
        </w:rPr>
        <w:t xml:space="preserve">https://doi.org/10.1080/02602938.2024.2386662</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Dunlosky, J., Rawson, K. A., Marsh, E. J., Nathan, M. J., &amp; Willingham, D. T. (2013). Improving students' learning with effective learning techniques. </w:t>
      </w:r>
      <w:r>
        <w:rPr>
          <w:rFonts w:ascii="Helvetica Neue" w:hAnsi="Helvetica Neue" w:cs="Helvetica Neue"/>
          <w:sz w:val="29"/>
          <w:sz-cs w:val="29"/>
          <w:i/>
          <w:spacing w:val="0"/>
          <w:color w:val="161A26"/>
        </w:rPr>
        <w:t xml:space="preserve">Psychological Science in the Public Interest, 14</w:t>
      </w:r>
      <w:r>
        <w:rPr>
          <w:rFonts w:ascii="Helvetica Neue" w:hAnsi="Helvetica Neue" w:cs="Helvetica Neue"/>
          <w:sz w:val="29"/>
          <w:sz-cs w:val="29"/>
          <w:spacing w:val="0"/>
          <w:color w:val="161A26"/>
        </w:rPr>
        <w:t xml:space="preserve">(1), 4–58. </w:t>
      </w:r>
      <w:r>
        <w:rPr>
          <w:rFonts w:ascii="Helvetica Neue" w:hAnsi="Helvetica Neue" w:cs="Helvetica Neue"/>
          <w:sz w:val="29"/>
          <w:sz-cs w:val="29"/>
          <w:u w:val="single"/>
          <w:spacing w:val="0"/>
          <w:color w:val="0000E9"/>
        </w:rPr>
        <w:t xml:space="preserve">https://doi.org/10.1177/1529100612453266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Ehlers, U.-D., Lindner, M., Rauch, E., &amp; Sablowski, M. (2024). </w:t>
      </w:r>
      <w:r>
        <w:rPr>
          <w:rFonts w:ascii="Helvetica Neue" w:hAnsi="Helvetica Neue" w:cs="Helvetica Neue"/>
          <w:sz w:val="29"/>
          <w:sz-cs w:val="29"/>
          <w:i/>
          <w:spacing w:val="0"/>
          <w:color w:val="161A26"/>
        </w:rPr>
        <w:t xml:space="preserve">AIComp — AI competence framework for higher education</w:t>
      </w:r>
      <w:r>
        <w:rPr>
          <w:rFonts w:ascii="Helvetica Neue" w:hAnsi="Helvetica Neue" w:cs="Helvetica Neue"/>
          <w:sz w:val="29"/>
          <w:sz-cs w:val="29"/>
          <w:spacing w:val="0"/>
          <w:color w:val="161A26"/>
        </w:rPr>
        <w:t xml:space="preserve">. Next Education. </w:t>
      </w:r>
      <w:r>
        <w:rPr>
          <w:rFonts w:ascii="Helvetica Neue" w:hAnsi="Helvetica Neue" w:cs="Helvetica Neue"/>
          <w:sz w:val="29"/>
          <w:sz-cs w:val="29"/>
          <w:u w:val="single"/>
          <w:spacing w:val="0"/>
          <w:color w:val="0000E9"/>
        </w:rPr>
        <w:t xml:space="preserve">https://nextskills.org</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Eppich, W., &amp; Cheng, A. (2015). Promoting Excellence and Reflective Learning in Simulation (PEARLS). </w:t>
      </w:r>
      <w:r>
        <w:rPr>
          <w:rFonts w:ascii="Helvetica Neue" w:hAnsi="Helvetica Neue" w:cs="Helvetica Neue"/>
          <w:sz w:val="29"/>
          <w:sz-cs w:val="29"/>
          <w:i/>
          <w:spacing w:val="0"/>
          <w:color w:val="161A26"/>
        </w:rPr>
        <w:t xml:space="preserve">Simulation in Healthcare, 10</w:t>
      </w:r>
      <w:r>
        <w:rPr>
          <w:rFonts w:ascii="Helvetica Neue" w:hAnsi="Helvetica Neue" w:cs="Helvetica Neue"/>
          <w:sz w:val="29"/>
          <w:sz-cs w:val="29"/>
          <w:spacing w:val="0"/>
          <w:color w:val="161A26"/>
        </w:rPr>
        <w:t xml:space="preserve">(2), 106–115. </w:t>
      </w:r>
      <w:r>
        <w:rPr>
          <w:rFonts w:ascii="Helvetica Neue" w:hAnsi="Helvetica Neue" w:cs="Helvetica Neue"/>
          <w:sz w:val="29"/>
          <w:sz-cs w:val="29"/>
          <w:u w:val="single"/>
          <w:spacing w:val="0"/>
          <w:color w:val="0000E9"/>
        </w:rPr>
        <w:t xml:space="preserve">https://doi.org/10.1097/SIH.0000000000000072</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Europäische Union. (2024). </w:t>
      </w:r>
      <w:r>
        <w:rPr>
          <w:rFonts w:ascii="Helvetica Neue" w:hAnsi="Helvetica Neue" w:cs="Helvetica Neue"/>
          <w:sz w:val="29"/>
          <w:sz-cs w:val="29"/>
          <w:i/>
          <w:spacing w:val="0"/>
          <w:color w:val="161A26"/>
        </w:rPr>
        <w:t xml:space="preserve">Verordnung (EU) 2024/1689 zur Festlegung harmonisierter Vorschriften für künstliche Intelligenz (KI-Verordnung)</w:t>
      </w:r>
      <w:r>
        <w:rPr>
          <w:rFonts w:ascii="Helvetica Neue" w:hAnsi="Helvetica Neue" w:cs="Helvetica Neue"/>
          <w:sz w:val="29"/>
          <w:sz-cs w:val="29"/>
          <w:spacing w:val="0"/>
          <w:color w:val="161A26"/>
        </w:rPr>
        <w:t xml:space="preserve">, Anhang III. </w:t>
      </w:r>
      <w:r>
        <w:rPr>
          <w:rFonts w:ascii="Helvetica Neue" w:hAnsi="Helvetica Neue" w:cs="Helvetica Neue"/>
          <w:sz w:val="29"/>
          <w:sz-cs w:val="29"/>
          <w:u w:val="single"/>
          <w:spacing w:val="0"/>
          <w:color w:val="0000E9"/>
        </w:rPr>
        <w:t xml:space="preserve">https://eur-lex.europa.eu/eli/reg/2024/1689/oj</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Haladyna, T. M., &amp; Rodriguez, M. C. (2013). </w:t>
      </w:r>
      <w:r>
        <w:rPr>
          <w:rFonts w:ascii="Helvetica Neue" w:hAnsi="Helvetica Neue" w:cs="Helvetica Neue"/>
          <w:sz w:val="29"/>
          <w:sz-cs w:val="29"/>
          <w:i/>
          <w:spacing w:val="0"/>
          <w:color w:val="161A26"/>
        </w:rPr>
        <w:t xml:space="preserve">Developing and validating test items</w:t>
      </w:r>
      <w:r>
        <w:rPr>
          <w:rFonts w:ascii="Helvetica Neue" w:hAnsi="Helvetica Neue" w:cs="Helvetica Neue"/>
          <w:sz w:val="29"/>
          <w:sz-cs w:val="29"/>
          <w:spacing w:val="0"/>
          <w:color w:val="161A26"/>
        </w:rPr>
        <w:t xml:space="preserve">. Routledge. </w:t>
      </w:r>
      <w:r>
        <w:rPr>
          <w:rFonts w:ascii="Helvetica Neue" w:hAnsi="Helvetica Neue" w:cs="Helvetica Neue"/>
          <w:sz w:val="29"/>
          <w:sz-cs w:val="29"/>
          <w:u w:val="single"/>
          <w:spacing w:val="0"/>
          <w:color w:val="0000E9"/>
        </w:rPr>
        <w:t xml:space="preserve">https://doi.org/10.4324/9780203850381</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Liu, D., &amp; Bridgeman, A. (2024). </w:t>
      </w:r>
      <w:r>
        <w:rPr>
          <w:rFonts w:ascii="Helvetica Neue" w:hAnsi="Helvetica Neue" w:cs="Helvetica Neue"/>
          <w:sz w:val="29"/>
          <w:sz-cs w:val="29"/>
          <w:i/>
          <w:spacing w:val="0"/>
          <w:color w:val="161A26"/>
        </w:rPr>
        <w:t xml:space="preserve">The two-lane approach to assessment</w:t>
      </w:r>
      <w:r>
        <w:rPr>
          <w:rFonts w:ascii="Helvetica Neue" w:hAnsi="Helvetica Neue" w:cs="Helvetica Neue"/>
          <w:sz w:val="29"/>
          <w:sz-cs w:val="29"/>
          <w:spacing w:val="0"/>
          <w:color w:val="161A26"/>
        </w:rPr>
        <w:t xml:space="preserve">. University of Sydney. </w:t>
      </w:r>
      <w:r>
        <w:rPr>
          <w:rFonts w:ascii="Helvetica Neue" w:hAnsi="Helvetica Neue" w:cs="Helvetica Neue"/>
          <w:sz w:val="29"/>
          <w:sz-cs w:val="29"/>
          <w:u w:val="single"/>
          <w:spacing w:val="0"/>
          <w:color w:val="0000E9"/>
        </w:rPr>
        <w:t xml:space="preserve">https://educational-innovation.sydney.edu.au/teaching@sydney/what-to-do-about-assessments-if-we-cant-out-design-or-out-run-ai/</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Patall, E. A., Cooper, H., &amp; Robinson, J. C. (2008). The effects of choice on intrinsic motivation and related outcomes. </w:t>
      </w:r>
      <w:r>
        <w:rPr>
          <w:rFonts w:ascii="Helvetica Neue" w:hAnsi="Helvetica Neue" w:cs="Helvetica Neue"/>
          <w:sz w:val="29"/>
          <w:sz-cs w:val="29"/>
          <w:i/>
          <w:spacing w:val="0"/>
          <w:color w:val="161A26"/>
        </w:rPr>
        <w:t xml:space="preserve">Psychological Bulletin, 134</w:t>
      </w:r>
      <w:r>
        <w:rPr>
          <w:rFonts w:ascii="Helvetica Neue" w:hAnsi="Helvetica Neue" w:cs="Helvetica Neue"/>
          <w:sz w:val="29"/>
          <w:sz-cs w:val="29"/>
          <w:spacing w:val="0"/>
          <w:color w:val="161A26"/>
        </w:rPr>
        <w:t xml:space="preserve">(2), 270–300. </w:t>
      </w:r>
      <w:r>
        <w:rPr>
          <w:rFonts w:ascii="Helvetica Neue" w:hAnsi="Helvetica Neue" w:cs="Helvetica Neue"/>
          <w:sz w:val="29"/>
          <w:sz-cs w:val="29"/>
          <w:u w:val="single"/>
          <w:spacing w:val="0"/>
          <w:color w:val="0000E9"/>
        </w:rPr>
        <w:t xml:space="preserve">https://doi.org/10.1037/0033-2909.134.2.270</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Perkins, M., Furze, L., Roe, J., &amp; MacVaugh, J. (2024). The Artificial Intelligence Assessment Scale (AIAS). </w:t>
      </w:r>
      <w:r>
        <w:rPr>
          <w:rFonts w:ascii="Helvetica Neue" w:hAnsi="Helvetica Neue" w:cs="Helvetica Neue"/>
          <w:sz w:val="29"/>
          <w:sz-cs w:val="29"/>
          <w:i/>
          <w:spacing w:val="0"/>
          <w:color w:val="161A26"/>
        </w:rPr>
        <w:t xml:space="preserve">Journal of University Teaching and Learning Practice, 21</w:t>
      </w:r>
      <w:r>
        <w:rPr>
          <w:rFonts w:ascii="Helvetica Neue" w:hAnsi="Helvetica Neue" w:cs="Helvetica Neue"/>
          <w:sz w:val="29"/>
          <w:sz-cs w:val="29"/>
          <w:spacing w:val="0"/>
          <w:color w:val="161A26"/>
        </w:rPr>
        <w:t xml:space="preserve">(6). </w:t>
      </w:r>
      <w:r>
        <w:rPr>
          <w:rFonts w:ascii="Helvetica Neue" w:hAnsi="Helvetica Neue" w:cs="Helvetica Neue"/>
          <w:sz w:val="29"/>
          <w:sz-cs w:val="29"/>
          <w:u w:val="single"/>
          <w:spacing w:val="0"/>
          <w:color w:val="0000E9"/>
        </w:rPr>
        <w:t xml:space="preserve">https://doi.org/10.53761/q3azde36</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Schweizerische Eidgenossenschaft. (2011). </w:t>
      </w:r>
      <w:r>
        <w:rPr>
          <w:rFonts w:ascii="Helvetica Neue" w:hAnsi="Helvetica Neue" w:cs="Helvetica Neue"/>
          <w:sz w:val="29"/>
          <w:sz-cs w:val="29"/>
          <w:i/>
          <w:spacing w:val="0"/>
          <w:color w:val="161A26"/>
        </w:rPr>
        <w:t xml:space="preserve">Bundesgesetz über die Psychologieberufe (PsyG), SR 935.81</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https://www.fedlex.admin.ch/eli/cc/2012/889/de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Tertiary Education Quality and Standards Agency. (2025). </w:t>
      </w:r>
      <w:r>
        <w:rPr>
          <w:rFonts w:ascii="Helvetica Neue" w:hAnsi="Helvetica Neue" w:cs="Helvetica Neue"/>
          <w:sz w:val="29"/>
          <w:sz-cs w:val="29"/>
          <w:i/>
          <w:spacing w:val="0"/>
          <w:color w:val="161A26"/>
        </w:rPr>
        <w:t xml:space="preserve">Assessment reform for the age of artificial intelligence</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https://www.teqsa.gov.au/guides-resources/resources/corporate-publications/assessment-reform-age-artificial-intelligence</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Moyers, T. B., Manuel, J. K., &amp; Ernst, D. (2015). </w:t>
      </w:r>
      <w:r>
        <w:rPr>
          <w:rFonts w:ascii="Helvetica Neue" w:hAnsi="Helvetica Neue" w:cs="Helvetica Neue"/>
          <w:sz w:val="29"/>
          <w:sz-cs w:val="29"/>
          <w:i/>
          <w:spacing w:val="0"/>
          <w:color w:val="161A26"/>
        </w:rPr>
        <w:t xml:space="preserve">Motivational Interviewing Treatment Integrity Coding Manual 4.2.1</w:t>
      </w:r>
      <w:r>
        <w:rPr>
          <w:rFonts w:ascii="Helvetica Neue" w:hAnsi="Helvetica Neue" w:cs="Helvetica Neue"/>
          <w:sz w:val="29"/>
          <w:sz-cs w:val="29"/>
          <w:spacing w:val="0"/>
          <w:color w:val="161A26"/>
        </w:rPr>
        <w:t xml:space="preserve">. </w:t>
      </w:r>
      <w:r>
        <w:rPr>
          <w:rFonts w:ascii="Helvetica Neue" w:hAnsi="Helvetica Neue" w:cs="Helvetica Neue"/>
          <w:sz w:val="29"/>
          <w:sz-cs w:val="29"/>
          <w:u w:val="single"/>
          <w:spacing w:val="0"/>
          <w:color w:val="0000E9"/>
        </w:rPr>
        <w:t xml:space="preserve">https://motivationalinterviewing.org/sites/default/files/miti4_2.pdf</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Sackett, P. R., Zhang, C., Berry, C. M., &amp; Lievens, F. (2022). Revisiting meta-analytic estimates of validity in personnel selection: Addressing systematic overcorrection for restriction of range. </w:t>
      </w:r>
      <w:r>
        <w:rPr>
          <w:rFonts w:ascii="Helvetica Neue" w:hAnsi="Helvetica Neue" w:cs="Helvetica Neue"/>
          <w:sz w:val="29"/>
          <w:sz-cs w:val="29"/>
          <w:i/>
          <w:spacing w:val="0"/>
          <w:color w:val="161A26"/>
        </w:rPr>
        <w:t xml:space="preserve">Journal of Applied Psychology, 107</w:t>
      </w:r>
      <w:r>
        <w:rPr>
          <w:rFonts w:ascii="Helvetica Neue" w:hAnsi="Helvetica Neue" w:cs="Helvetica Neue"/>
          <w:sz w:val="29"/>
          <w:sz-cs w:val="29"/>
          <w:spacing w:val="0"/>
          <w:color w:val="161A26"/>
        </w:rPr>
        <w:t xml:space="preserve">(11), 2040–2068. </w:t>
      </w:r>
      <w:r>
        <w:rPr>
          <w:rFonts w:ascii="Helvetica Neue" w:hAnsi="Helvetica Neue" w:cs="Helvetica Neue"/>
          <w:sz w:val="29"/>
          <w:sz-cs w:val="29"/>
          <w:u w:val="single"/>
          <w:spacing w:val="0"/>
          <w:color w:val="0000E9"/>
        </w:rPr>
        <w:t xml:space="preserve">https://doi.org/10.1037/apl0000994</w:t>
      </w:r>
      <w:r>
        <w:rPr>
          <w:rFonts w:ascii="Helvetica Neue" w:hAnsi="Helvetica Neue" w:cs="Helvetica Neue"/>
          <w:sz w:val="29"/>
          <w:sz-cs w:val="29"/>
          <w:spacing w:val="0"/>
          <w:color w:val="161A26"/>
        </w:rPr>
        <w:t xml:space="preserve"/>
      </w:r>
    </w:p>
    <w:p>
      <w:pPr>
        <w:spacing w:after="293"/>
      </w:pPr>
      <w:r>
        <w:rPr>
          <w:rFonts w:ascii="Helvetica Neue" w:hAnsi="Helvetica Neue" w:cs="Helvetica Neue"/>
          <w:sz w:val="29"/>
          <w:sz-cs w:val="29"/>
          <w:spacing w:val="0"/>
          <w:color w:val="161A26"/>
        </w:rPr>
        <w:t xml:space="preserve">Universität Zürich. (2026). </w:t>
      </w:r>
      <w:r>
        <w:rPr>
          <w:rFonts w:ascii="Helvetica Neue" w:hAnsi="Helvetica Neue" w:cs="Helvetica Neue"/>
          <w:sz w:val="29"/>
          <w:sz-cs w:val="29"/>
          <w:i/>
          <w:spacing w:val="0"/>
          <w:color w:val="161A26"/>
        </w:rPr>
        <w:t xml:space="preserve">Einreihungsrichtlinien für wissenschaftliche Funktionen</w:t>
      </w:r>
      <w:r>
        <w:rPr>
          <w:rFonts w:ascii="Helvetica Neue" w:hAnsi="Helvetica Neue" w:cs="Helvetica Neue"/>
          <w:sz w:val="29"/>
          <w:sz-cs w:val="29"/>
          <w:spacing w:val="0"/>
          <w:color w:val="161A26"/>
        </w:rPr>
        <w:t xml:space="preserve"> (Stand 8. Januar 2026). </w:t>
      </w:r>
      <w:r>
        <w:rPr>
          <w:rFonts w:ascii="Helvetica Neue" w:hAnsi="Helvetica Neue" w:cs="Helvetica Neue"/>
          <w:sz w:val="29"/>
          <w:sz-cs w:val="29"/>
          <w:u w:val="single"/>
          <w:spacing w:val="0"/>
          <w:color w:val="0000E9"/>
        </w:rPr>
        <w:t xml:space="preserve">https://www.uzh.ch/cmsssl/de/about/basics/rechtliche-grundlagen.html</w:t>
      </w:r>
      <w:r>
        <w:rPr>
          <w:rFonts w:ascii="Helvetica Neue" w:hAnsi="Helvetica Neue" w:cs="Helvetica Neue"/>
          <w:sz w:val="29"/>
          <w:sz-cs w:val="29"/>
          <w:spacing w:val="0"/>
          <w:color w:val="161A26"/>
        </w:rPr>
        <w:t xml:space="preserve"/>
      </w:r>
    </w:p>
    <w:p>
      <w:pPr/>
      <w:r>
        <w:rPr>
          <w:rFonts w:ascii="Helvetica Neue" w:hAnsi="Helvetica Neue" w:cs="Helvetica Neue"/>
          <w:sz w:val="29"/>
          <w:sz-cs w:val="29"/>
          <w:spacing w:val="0"/>
          <w:color w:val="6D6D6D"/>
        </w:rPr>
        <w:t xml:space="preserve"/>
      </w:r>
    </w:p>
    <w:p>
      <w:pPr>
        <w:spacing w:after="293"/>
      </w:pPr>
      <w:r>
        <w:rPr>
          <w:rFonts w:ascii="Helvetica Neue" w:hAnsi="Helvetica Neue" w:cs="Helvetica Neue"/>
          <w:sz w:val="29"/>
          <w:sz-cs w:val="29"/>
          <w:i/>
          <w:spacing w:val="0"/>
          <w:color w:val="161A26"/>
        </w:rPr>
        <w:t xml:space="preserve">Vollständige Recherchegrundlagen: </w:t>
      </w:r>
      <w:r>
        <w:rPr>
          <w:rFonts w:ascii="Menlo" w:hAnsi="Menlo" w:cs="Menlo"/>
          <w:sz w:val="25"/>
          <w:sz-cs w:val="25"/>
          <w:i/>
          <w:spacing w:val="0"/>
          <w:color w:val="161A26"/>
        </w:rPr>
        <w:t xml:space="preserve">90_Recherche/web_stellenprofile-ch-2026.md</w:t>
      </w:r>
      <w:r>
        <w:rPr>
          <w:rFonts w:ascii="Helvetica Neue" w:hAnsi="Helvetica Neue" w:cs="Helvetica Neue"/>
          <w:sz w:val="29"/>
          <w:sz-cs w:val="29"/>
          <w:i/>
          <w:spacing w:val="0"/>
          <w:color w:val="161A26"/>
        </w:rPr>
        <w:t xml:space="preserve"> (Stellenprofile Schweiz, 1.8.2026), </w:t>
      </w:r>
      <w:r>
        <w:rPr>
          <w:rFonts w:ascii="Menlo" w:hAnsi="Menlo" w:cs="Menlo"/>
          <w:sz w:val="25"/>
          <w:sz-cs w:val="25"/>
          <w:i/>
          <w:spacing w:val="0"/>
          <w:color w:val="161A26"/>
        </w:rPr>
        <w:t xml:space="preserve">web_karrierepfade-aus-fachbereichen.md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web_karrierewege-nach-msc.md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web_masterarbeit-stufe4.md</w:t>
      </w:r>
      <w:r>
        <w:rPr>
          <w:rFonts w:ascii="Helvetica Neue" w:hAnsi="Helvetica Neue" w:cs="Helvetica Neue"/>
          <w:sz w:val="29"/>
          <w:sz-cs w:val="29"/>
          <w:i/>
          <w:spacing w:val="0"/>
          <w:color w:val="161A26"/>
        </w:rPr>
        <w:t xml:space="preserve">, </w:t>
      </w:r>
      <w:r>
        <w:rPr>
          <w:rFonts w:ascii="Menlo" w:hAnsi="Menlo" w:cs="Menlo"/>
          <w:sz w:val="25"/>
          <w:sz-cs w:val="25"/>
          <w:i/>
          <w:spacing w:val="0"/>
          <w:color w:val="161A26"/>
        </w:rPr>
        <w:t xml:space="preserve">web_gestaltung-choice-evidenz.md</w:t>
      </w:r>
      <w:r>
        <w:rPr>
          <w:rFonts w:ascii="Helvetica Neue" w:hAnsi="Helvetica Neue" w:cs="Helvetica Neue"/>
          <w:sz w:val="29"/>
          <w:sz-cs w:val="29"/>
          <w:i/>
          <w:spacing w:val="0"/>
          <w:color w:val="161A26"/>
        </w:rPr>
        <w:t xml:space="preserve">. Feedbackdidaktik der Fallgespräche: MITI 4.2.1, Calgary-Cambridge, CTS-R, PEARLS. Änderungsprotokoll: </w:t>
      </w:r>
      <w:r>
        <w:rPr>
          <w:rFonts w:ascii="Menlo" w:hAnsi="Menlo" w:cs="Menlo"/>
          <w:sz w:val="25"/>
          <w:sz-cs w:val="25"/>
          <w:i/>
          <w:spacing w:val="0"/>
          <w:color w:val="161A26"/>
        </w:rPr>
        <w:t xml:space="preserve">30_Backlog/v7-backlog.md</w:t>
      </w:r>
      <w:r>
        <w:rPr>
          <w:rFonts w:ascii="Helvetica Neue" w:hAnsi="Helvetica Neue" w:cs="Helvetica Neue"/>
          <w:sz w:val="29"/>
          <w:sz-cs w:val="29"/>
          <w:i/>
          <w:spacing w:val="0"/>
          <w:color w:val="161A26"/>
        </w:rPr>
        <w:t xml:space="preserve">.</w:t>
      </w:r>
      <w:r>
        <w:rPr>
          <w:rFonts w:ascii="Helvetica Neue" w:hAnsi="Helvetica Neue" w:cs="Helvetica Neue"/>
          <w:sz w:val="29"/>
          <w:sz-cs w:val="29"/>
          <w:spacing w:val="0"/>
          <w:color w:val="161A2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