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Proyecto de mejora logística sobre JDE</w:t>
      </w:r>
    </w:p>
    <w:p>
      <w:pPr/>
      <w:r>
        <w:t xml:space="preserve">Oct 20, 2026</w:t>
      </w:r>
      <w:r>
        <w:t xml:space="preserve"> · </w:t>
      </w:r>
      <w:r>
        <w:t xml:space="preserve">@Gise</w:t>
      </w:r>
    </w:p>
    <w:p>
      <w:pPr>
        <w:pStyle w:val="Heading2"/>
      </w:pPr>
      <w:r>
        <w:t xml:space="preserve">Objetivo</w:t>
      </w:r>
    </w:p>
    <w:p>
      <w:pPr/>
      <w:r>
        <w:t xml:space="preserve">Mejorar el ciclo </w:t>
      </w:r>
      <w:r>
        <w:rPr>
          <w:b/>
        </w:rPr>
        <w:t xml:space="preserve">pedido → compromiso → picking → ruta → entrega</w:t>
      </w:r>
      <w:r>
        <w:t xml:space="preserve"> y lograr que el precio refleje el costo del envío, con el mínimo desarrollo a medida y aprovechando lo estándar de JDE: Sales Order Management, Advanced Pricing, Transportation y, si se usa, Warehouse Management.</w:t>
      </w:r>
    </w:p>
    <w:p>
      <w:pPr>
        <w:pStyle w:val="Heading2"/>
      </w:pPr>
      <w:r>
        <w:t xml:space="preserve">Frentes de trabajo</w:t>
      </w:r>
    </w:p>
    <w:p>
      <w:pPr/>
      <w:r>
        <w:t xml:space="preserve">Son cinco frentes, y la mayoría se resuelve primero por configuración antes que por desarrollo.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55"/>
        <w:gridCol w:w="2885"/>
        <w:gridCol w:w="4920"/>
      </w:tblGrid>
      <w:tr>
        <w:trPr>
          <w:tblHeader/>
        </w:trPr>
        <w:tc>
          <w:tcPr>
            <w:tcW w:w="1555" w:type="dxa"/>
            <w:shd w:val="clear" w:color="auto" w:fill="F2F2F2"/>
          </w:tcPr>
          <w:p>
            <w:pPr/>
            <w:r>
              <w:t xml:space="preserve">Frente</w:t>
            </w:r>
          </w:p>
        </w:tc>
        <w:tc>
          <w:tcPr>
            <w:tcW w:w="2885" w:type="dxa"/>
            <w:shd w:val="clear" w:color="auto" w:fill="F2F2F2"/>
          </w:tcPr>
          <w:p>
            <w:pPr/>
            <w:r>
              <w:t xml:space="preserve">Problema típico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Propuesta</w:t>
            </w:r>
          </w:p>
        </w:tc>
      </w:tr>
      <w:tr>
        <w:tc>
          <w:tcPr>
            <w:tcW w:w="1555" w:type="dxa"/>
          </w:tcPr>
          <w:p>
            <w:pPr/>
            <w:r>
              <w:rPr>
                <w:b/>
              </w:rPr>
              <w:t xml:space="preserve">Armado del pedido</w:t>
            </w:r>
          </w:p>
        </w:tc>
        <w:tc>
          <w:tcPr>
            <w:tcW w:w="2885" w:type="dxa"/>
          </w:tcPr>
          <w:p>
            <w:pPr/>
            <w:r>
              <w:t xml:space="preserve">Cargas manuales, errores de ítem/UM, condiciones de envío que se definen tarde</w:t>
            </w:r>
          </w:p>
        </w:tc>
        <w:tc>
          <w:tcPr>
            <w:tcW w:w="4920" w:type="dxa"/>
          </w:tcPr>
          <w:p>
            <w:pPr/>
            <w:r>
              <w:t xml:space="preserve">Pantalla de carga simplificada con defaults por cliente (sucursal de despacho, ruta, condición de envío). Validaciones tempranas y </w:t>
            </w:r>
            <w:r>
              <w:rPr>
                <w:i/>
              </w:rPr>
              <w:t xml:space="preserve">hold codes</w:t>
            </w:r>
            <w:r>
              <w:t xml:space="preserve"> para pedidos incompletos.</w:t>
            </w:r>
          </w:p>
        </w:tc>
      </w:tr>
      <w:tr>
        <w:tc>
          <w:tcPr>
            <w:tcW w:w="1555" w:type="dxa"/>
          </w:tcPr>
          <w:p>
            <w:pPr/>
            <w:r>
              <w:rPr>
                <w:b/>
              </w:rPr>
              <w:t xml:space="preserve">Compromiso</w:t>
            </w:r>
          </w:p>
        </w:tc>
        <w:tc>
          <w:tcPr>
            <w:tcW w:w="2885" w:type="dxa"/>
          </w:tcPr>
          <w:p>
            <w:pPr/>
            <w:r>
              <w:t xml:space="preserve">Stock comprometido que no sale, prioridades poco claras, </w:t>
            </w:r>
            <w:r>
              <w:rPr>
                <w:i/>
              </w:rPr>
              <w:t xml:space="preserve">soft</w:t>
            </w:r>
            <w:r>
              <w:t xml:space="preserve"> vs </w:t>
            </w:r>
            <w:r>
              <w:rPr>
                <w:i/>
              </w:rPr>
              <w:t xml:space="preserve">hard</w:t>
            </w:r>
            <w:r>
              <w:t xml:space="preserve"> mal usado</w:t>
            </w:r>
          </w:p>
        </w:tc>
        <w:tc>
          <w:tcPr>
            <w:tcW w:w="4920" w:type="dxa"/>
          </w:tcPr>
          <w:p>
            <w:pPr/>
            <w:r>
              <w:t xml:space="preserve">Revisar la configuración de compromiso en Branch/Plant Constants y las reglas de prioridad (cliente, fecha de entrega, tipo de pedido). Definir cuándo se hace el </w:t>
            </w:r>
            <w:r>
              <w:rPr>
                <w:i/>
              </w:rPr>
              <w:t xml:space="preserve">hard commitment</w:t>
            </w:r>
            <w:r>
              <w:t xml:space="preserve">. Reporte de stock comprometido vs. disponible.</w:t>
            </w:r>
          </w:p>
        </w:tc>
      </w:tr>
      <w:tr>
        <w:tc>
          <w:tcPr>
            <w:tcW w:w="1555" w:type="dxa"/>
          </w:tcPr>
          <w:p>
            <w:pPr/>
            <w:r>
              <w:rPr>
                <w:b/>
              </w:rPr>
              <w:t xml:space="preserve">Liberación de backorder</w:t>
            </w:r>
          </w:p>
        </w:tc>
        <w:tc>
          <w:tcPr>
            <w:tcW w:w="2885" w:type="dxa"/>
          </w:tcPr>
          <w:p>
            <w:pPr/>
            <w:r>
              <w:t xml:space="preserve">Se libera manualmente o sin criterio; los pedidos viejos pisan a los nuevos</w:t>
            </w:r>
          </w:p>
        </w:tc>
        <w:tc>
          <w:tcPr>
            <w:tcW w:w="4920" w:type="dxa"/>
          </w:tcPr>
          <w:p>
            <w:pPr/>
            <w:r>
              <w:t xml:space="preserve">Regla de priorización explícita (antigüedad / cliente / margen). Programar el proceso de liberación (R42118) por lotes con horario fijo. Tablero de backorders con antigüedad.</w:t>
            </w:r>
          </w:p>
        </w:tc>
      </w:tr>
      <w:tr>
        <w:tc>
          <w:tcPr>
            <w:tcW w:w="1555" w:type="dxa"/>
          </w:tcPr>
          <w:p>
            <w:pPr/>
            <w:r>
              <w:rPr>
                <w:b/>
              </w:rPr>
              <w:t xml:space="preserve">Armado de ruta</w:t>
            </w:r>
          </w:p>
        </w:tc>
        <w:tc>
          <w:tcPr>
            <w:tcW w:w="2885" w:type="dxa"/>
          </w:tcPr>
          <w:p>
            <w:pPr/>
            <w:r>
              <w:t xml:space="preserve">Ruteo manual, camiones mal cargados, poca visibilidad</w:t>
            </w:r>
          </w:p>
        </w:tc>
        <w:tc>
          <w:tcPr>
            <w:tcW w:w="4920" w:type="dxa"/>
          </w:tcPr>
          <w:p>
            <w:pPr/>
            <w:r>
              <w:t xml:space="preserve">Parametrizar zonas y rutas (UDC y Route Master) y asignar por defecto según cliente/localidad. Evaluar el módulo Transportation de JDE o un optimizador externo integrado. Consolidar pedidos por ruta antes de imprimir los pick slips.</w:t>
            </w:r>
          </w:p>
        </w:tc>
      </w:tr>
      <w:tr>
        <w:tc>
          <w:tcPr>
            <w:tcW w:w="1555" w:type="dxa"/>
          </w:tcPr>
          <w:p>
            <w:pPr/>
            <w:r>
              <w:rPr>
                <w:b/>
              </w:rPr>
              <w:t xml:space="preserve">Lista de precios según envío</w:t>
            </w:r>
          </w:p>
        </w:tc>
        <w:tc>
          <w:tcPr>
            <w:tcW w:w="2885" w:type="dxa"/>
          </w:tcPr>
          <w:p>
            <w:pPr/>
            <w:r>
              <w:t xml:space="preserve">El precio no refleja el costo logístico (retiro vs. reparto, zona, volumen)</w:t>
            </w:r>
          </w:p>
        </w:tc>
        <w:tc>
          <w:tcPr>
            <w:tcW w:w="4920" w:type="dxa"/>
          </w:tcPr>
          <w:p>
            <w:pPr/>
            <w:r>
              <w:t xml:space="preserve">Usar Advanced Pricing: tipos y esquemas de ajuste por condición de envío, zona o ruta (flete incluido, recargo, bonificación por retiro). Definir esquema por cliente y regla de prioridad entre ajustes.</w:t>
            </w:r>
          </w:p>
        </w:tc>
      </w:tr>
    </w:tbl>
    <w:p>
      <w:pPr>
        <w:pStyle w:val="Heading2"/>
      </w:pPr>
      <w:r>
        <w:t xml:space="preserve">Fases y tiempos (estimado)</w:t>
      </w:r>
    </w:p>
    <w:p>
      <w:pPr/>
      <w:r>
        <w:t xml:space="preserve">El proyecto lleva entre 12 y 21 semanas en cinco fases consecutivas.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Diagnóstico (2–3 semanas):</w:t>
      </w:r>
      <w:r>
        <w:t xml:space="preserve"> relevar el </w:t>
      </w:r>
      <w:r>
        <w:rPr>
          <w:i/>
        </w:rPr>
        <w:t xml:space="preserve">as-is</w:t>
      </w:r>
      <w:r>
        <w:t xml:space="preserve"> de los cinco frentes, medir los indicadores de hoy y revisar la configuración actual de JDE (constantes, UDCs, esquemas de precio, procesos batch).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Diseño to-be (2–3 semanas):</w:t>
      </w:r>
      <w:r>
        <w:t xml:space="preserve"> acordar las reglas de negocio con Logística, Comercial y Administración. Definir qué es estándar y qué es gap.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Configuración y desarrollo (4–8 semanas):</w:t>
      </w:r>
      <w:r>
        <w:t xml:space="preserve"> primero lo que sale por configuración; después reportes, UDOs/orquestaciones y ajustes puntuales.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Pruebas y capacitación (2–3 semanas):</w:t>
      </w:r>
      <w:r>
        <w:t xml:space="preserve"> UAT con casos reales, ajuste de reglas y capacitación a depósito, ventas y logística.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Puesta en marcha y estabilización (2–4 semanas):</w:t>
      </w:r>
      <w:r>
        <w:t xml:space="preserve"> acompañamiento y medición contra la línea base.</w:t>
      </w:r>
    </w:p>
    <w:p>
      <w:pPr/>
      <w:r>
        <w:rPr>
          <w:b/>
        </w:rPr>
        <w:t xml:space="preserve">Alternativa en dos olas:</w:t>
      </w:r>
      <w:r>
        <w:t xml:space="preserve"> primero compromiso y backorder, que dan resultados rápido; después ruta y precios por envío, que tienen más impacto comercial.</w:t>
      </w:r>
    </w:p>
    <w:p>
      <w:pPr>
        <w:pStyle w:val="Heading2"/>
      </w:pPr>
      <w:r>
        <w:t xml:space="preserve">Equipo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452"/>
        <w:gridCol w:w="1907"/>
      </w:tblGrid>
      <w:tr>
        <w:trPr>
          <w:tblHeader/>
        </w:trPr>
        <w:tc>
          <w:tcPr>
            <w:tcW w:w="7452" w:type="dxa"/>
            <w:shd w:val="clear" w:color="auto" w:fill="F2F2F2"/>
          </w:tcPr>
          <w:p>
            <w:pPr/>
            <w:r>
              <w:t xml:space="preserve">Rol</w:t>
            </w:r>
          </w:p>
        </w:tc>
        <w:tc>
          <w:tcPr>
            <w:tcW w:w="1907" w:type="dxa"/>
            <w:shd w:val="clear" w:color="auto" w:fill="F2F2F2"/>
          </w:tcPr>
          <w:p>
            <w:pPr/>
            <w:r>
              <w:t xml:space="preserve">Parte</w:t>
            </w:r>
          </w:p>
        </w:tc>
      </w:tr>
      <w:tr>
        <w:tc>
          <w:tcPr>
            <w:tcW w:w="7452" w:type="dxa"/>
          </w:tcPr>
          <w:p>
            <w:pPr/>
            <w:r>
              <w:t xml:space="preserve">Líder de proyecto</w:t>
            </w:r>
          </w:p>
        </w:tc>
        <w:tc>
          <w:tcPr>
            <w:tcW w:w="1907" w:type="dxa"/>
          </w:tcPr>
          <w:p>
            <w:pPr/>
            <w:r>
              <w:t xml:space="preserve">EISPLUS</w:t>
            </w:r>
          </w:p>
        </w:tc>
      </w:tr>
      <w:tr>
        <w:tc>
          <w:tcPr>
            <w:tcW w:w="7452" w:type="dxa"/>
          </w:tcPr>
          <w:p>
            <w:pPr/>
            <w:r>
              <w:t xml:space="preserve">Consultor funcional JDE (ventas / inventario / transporte)</w:t>
            </w:r>
          </w:p>
        </w:tc>
        <w:tc>
          <w:tcPr>
            <w:tcW w:w="1907" w:type="dxa"/>
          </w:tcPr>
          <w:p>
            <w:pPr/>
            <w:r>
              <w:t xml:space="preserve">EISPLUS</w:t>
            </w:r>
          </w:p>
        </w:tc>
      </w:tr>
      <w:tr>
        <w:tc>
          <w:tcPr>
            <w:tcW w:w="7452" w:type="dxa"/>
          </w:tcPr>
          <w:p>
            <w:pPr/>
            <w:r>
              <w:t xml:space="preserve">Desarrollador JDE (reportes, UDOs, integraciones)</w:t>
            </w:r>
          </w:p>
        </w:tc>
        <w:tc>
          <w:tcPr>
            <w:tcW w:w="1907" w:type="dxa"/>
          </w:tcPr>
          <w:p>
            <w:pPr/>
            <w:r>
              <w:t xml:space="preserve">EISPLUS</w:t>
            </w:r>
          </w:p>
        </w:tc>
      </w:tr>
      <w:tr>
        <w:tc>
          <w:tcPr>
            <w:tcW w:w="7452" w:type="dxa"/>
          </w:tcPr>
          <w:p>
            <w:pPr/>
            <w:r>
              <w:t xml:space="preserve">Logística y Depósito</w:t>
            </w:r>
          </w:p>
        </w:tc>
        <w:tc>
          <w:tcPr>
            <w:tcW w:w="1907" w:type="dxa"/>
          </w:tcPr>
          <w:p>
            <w:pPr/>
            <w:r>
              <w:t xml:space="preserve">Cliente</w:t>
            </w:r>
          </w:p>
        </w:tc>
      </w:tr>
      <w:tr>
        <w:tc>
          <w:tcPr>
            <w:tcW w:w="7452" w:type="dxa"/>
          </w:tcPr>
          <w:p>
            <w:pPr/>
            <w:r>
              <w:t xml:space="preserve">Comercial</w:t>
            </w:r>
          </w:p>
        </w:tc>
        <w:tc>
          <w:tcPr>
            <w:tcW w:w="1907" w:type="dxa"/>
          </w:tcPr>
          <w:p>
            <w:pPr/>
            <w:r>
              <w:t xml:space="preserve">Cliente</w:t>
            </w:r>
          </w:p>
        </w:tc>
      </w:tr>
      <w:tr>
        <w:tc>
          <w:tcPr>
            <w:tcW w:w="7452" w:type="dxa"/>
          </w:tcPr>
          <w:p>
            <w:pPr/>
            <w:r>
              <w:t xml:space="preserve">Administración (precios)</w:t>
            </w:r>
          </w:p>
        </w:tc>
        <w:tc>
          <w:tcPr>
            <w:tcW w:w="1907" w:type="dxa"/>
          </w:tcPr>
          <w:p>
            <w:pPr/>
            <w:r>
              <w:t xml:space="preserve">Cliente</w:t>
            </w:r>
          </w:p>
        </w:tc>
      </w:tr>
    </w:tbl>
    <w:p>
      <w:pPr>
        <w:pStyle w:val="Heading2"/>
      </w:pPr>
      <w:r>
        <w:t xml:space="preserve">Indicadores de éxito</w:t>
      </w:r>
    </w:p>
    <w:p>
      <w:pPr/>
      <w:r>
        <w:t xml:space="preserve">Se miden en el diagnóstico (línea base) y se comparan al cierre de la estabilización.</w:t>
      </w:r>
    </w:p>
    <w:p>
      <w:pPr>
        <w:pStyle w:val="ListParagraph"/>
        <w:numPr>
          <w:ilvl w:val="0"/>
          <w:numId w:val="3"/>
        </w:numPr>
      </w:pPr>
      <w:r>
        <w:t xml:space="preserve">% de pedidos entregados en la fecha comprometida</w:t>
      </w:r>
    </w:p>
    <w:p>
      <w:pPr>
        <w:pStyle w:val="ListParagraph"/>
        <w:numPr>
          <w:ilvl w:val="0"/>
          <w:numId w:val="3"/>
        </w:numPr>
      </w:pPr>
      <w:r>
        <w:t xml:space="preserve">Antigüedad promedio del backorder</w:t>
      </w:r>
    </w:p>
    <w:p>
      <w:pPr>
        <w:pStyle w:val="ListParagraph"/>
        <w:numPr>
          <w:ilvl w:val="0"/>
          <w:numId w:val="3"/>
        </w:numPr>
      </w:pPr>
      <w:r>
        <w:t xml:space="preserve">Tiempo desde la carga del pedido hasta la liberación al depósito</w:t>
      </w:r>
    </w:p>
    <w:p>
      <w:pPr>
        <w:pStyle w:val="ListParagraph"/>
        <w:numPr>
          <w:ilvl w:val="0"/>
          <w:numId w:val="3"/>
        </w:numPr>
      </w:pPr>
      <w:r>
        <w:t xml:space="preserve">Errores de picking por cada mil líneas</w:t>
      </w:r>
    </w:p>
    <w:p>
      <w:pPr>
        <w:pStyle w:val="ListParagraph"/>
        <w:numPr>
          <w:ilvl w:val="0"/>
          <w:numId w:val="3"/>
        </w:numPr>
      </w:pPr>
      <w:r>
        <w:t xml:space="preserve">Costo logístico por entrega / kilómetro</w:t>
      </w:r>
    </w:p>
    <w:p>
      <w:pPr>
        <w:pStyle w:val="ListParagraph"/>
        <w:numPr>
          <w:ilvl w:val="0"/>
          <w:numId w:val="3"/>
        </w:numPr>
      </w:pPr>
      <w:r>
        <w:t xml:space="preserve">% de pedidos con precio de envío correcto en la primera carga</w:t>
      </w:r>
    </w:p>
    <w:p>
      <w:pPr>
        <w:pStyle w:val="Heading2"/>
      </w:pPr>
      <w:r>
        <w:t xml:space="preserve">Riesgos principales</w:t>
      </w:r>
    </w:p>
    <w:p>
      <w:pPr>
        <w:pStyle w:val="ListParagraph"/>
        <w:numPr>
          <w:ilvl w:val="0"/>
          <w:numId w:val="4"/>
        </w:numPr>
      </w:pPr>
      <w:r>
        <w:t xml:space="preserve">Reglas de negocio no definidas o distintas entre áreas, en especial el precio por envío.</w:t>
      </w:r>
    </w:p>
    <w:p>
      <w:pPr>
        <w:pStyle w:val="ListParagraph"/>
        <w:numPr>
          <w:ilvl w:val="0"/>
          <w:numId w:val="4"/>
        </w:numPr>
      </w:pPr>
      <w:r>
        <w:t xml:space="preserve">Datos maestros sucios (zonas, rutas, direcciones de entrega).</w:t>
      </w:r>
    </w:p>
    <w:p>
      <w:pPr>
        <w:pStyle w:val="ListParagraph"/>
        <w:numPr>
          <w:ilvl w:val="0"/>
          <w:numId w:val="4"/>
        </w:numPr>
      </w:pPr>
      <w:r>
        <w:t xml:space="preserve">Resistencia al cambio en depósito y reparto.</w:t>
      </w:r>
    </w:p>
    <w:p>
      <w:pPr>
        <w:pStyle w:val="ListParagraph"/>
        <w:numPr>
          <w:ilvl w:val="0"/>
          <w:numId w:val="4"/>
        </w:numPr>
      </w:pPr>
      <w:r>
        <w:t xml:space="preserve">Querer resolver con desarrollos lo que se puede configurar.</w:t>
      </w:r>
    </w:p>
    <w:p>
      <w:pPr>
        <w:pStyle w:val="Heading2"/>
      </w:pPr>
      <w:r>
        <w:t xml:space="preserve">Supuestos y preguntas abiertas</w:t>
      </w:r>
    </w:p>
    <w:p>
      <w:pPr/>
      <w:r>
        <w:t xml:space="preserve">Los tiempos y el alcance son una estimación inicial; estas preguntas permiten ajustarlos.</w:t>
      </w:r>
    </w:p>
    <w:p>
      <w:pPr>
        <w:pStyle w:val="ListParagraph"/>
        <w:numPr>
          <w:ilvl w:val="0"/>
          <w:numId w:val="5"/>
        </w:numPr>
      </w:pPr>
      <w:r>
        <w:t xml:space="preserve">☐ ¿Qué versión de JDE tiene el cliente (E1 9.2, por ejemplo) y qué módulos usa hoy: solo Sales/Inventory, o también Transportation y Warehouse Management?</w:t>
      </w:r>
    </w:p>
    <w:p>
      <w:pPr>
        <w:pStyle w:val="ListParagraph"/>
        <w:numPr>
          <w:ilvl w:val="0"/>
          <w:numId w:val="5"/>
        </w:numPr>
      </w:pPr>
      <w:r>
        <w:t xml:space="preserve">☐ ¿El ruteo se hace hoy en Excel, a mano o con un sistema externo?</w:t>
      </w:r>
    </w:p>
    <w:p>
      <w:pPr>
        <w:pStyle w:val="ListParagraph"/>
        <w:numPr>
          <w:ilvl w:val="0"/>
          <w:numId w:val="5"/>
        </w:numPr>
      </w:pPr>
      <w:r>
        <w:t xml:space="preserve">☐ ¿Cuál de los cinco puntos es el más doloroso? Define la primera ola.</w:t>
      </w:r>
    </w:p>
    <w:p>
      <w:pPr>
        <w:pStyle w:val="ListParagraph"/>
        <w:numPr>
          <w:ilvl w:val="0"/>
          <w:numId w:val="5"/>
        </w:numPr>
      </w:pPr>
      <w:r>
        <w:t xml:space="preserve">☐ ¿Es una propuesta para presentar al cliente o un plan interno de trabajo? Cambia el nivel de detalle y el tono.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0"/>
  </w:num>
  <w:num w:numId="5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Proyecto de mejora logística sobre JDE</dc:title>
  <dc:description>Claude Docs node/1a0ab350-d035@3 docx-w7</dc:description>
  <cp:revision>3</cp:revision>
</cp:coreProperties>
</file>