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7"/>
          <w:szCs w:val="17"/>
          <w:rtl w:val="0"/>
        </w:rPr>
        <w:t xml:space="preserve">SHOPPING CIDADE CURITIBA  ·  Estratégia B2B Meta Ads  ·  Junho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eeeeee" w:space="1" w:sz="4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Captação de Lojistas — Resumo Estratégico para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2185b" w:space="2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6"/>
          <w:szCs w:val="26"/>
          <w:rtl w:val="0"/>
        </w:rPr>
        <w:t xml:space="preserve">Por que este projeto e por que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A campanha B2B atual (objetivo Leads, R$ 300/dia) gerou 76 leads em 28 dias a um CPL médio de R$ 59,18. O desafio não é volume — é qualidade. Sem segmentação por nicho e sem ângulo de comunicação orientado pela dor do lojista, a campanha atrai qualquer pessoa interessada em abrir uma loja, e não necessariamente quem já tem uma operação estabelecida e pode se beneficiar imediatamente do Shopping 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A proposta a seguir reorienta a estratégia em torno de dados de mercado setoriais (IEMI, PwC/Instituto Locomotiva, ABVTEX, Itaú Unibanco, Mordor Intelligence) e de benchmarks de shoppings populares de referência nacional, como o Complexo Metrô Tatuapé (SP) — referência de shopping integrado a terminal de transporte público com mix denso de varejo popular.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2185b" w:space="2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6"/>
          <w:szCs w:val="26"/>
          <w:rtl w:val="0"/>
        </w:rPr>
        <w:t xml:space="preserve">A lógica estratégica em três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1. Qualificação pelo criativo — filtrar antes de captar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Criativos genéricos geram volume. Criativos segmentados geram leads qualificados. A comunicação deve pressupor que o lojista já opera — e posicionar o Shopping Cidade como próximo passo de expansão, não como primeiro ponto. A frase "novos lojistas" atrai o perfil errado. O ângulo correto é: "você já tem uma operação. Aqui é onde ela cresce."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2. Fluxo como argumento central, não apenas como benefício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A pergunta que o lojista sempre faz é: "por que o Shopping Cidade e não outro ponto?" A resposta está em dados concretos: localização em avenida de alto movimento, tubo de ônibus na porta e público de classes C/D/E que representa 76% da população brasileira e responde por quase metade do consumo nacional (PwC + Instituto Locomotiva, 2023). Esse público vai ao shopping para comprar — não para passear.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2e"/>
          <w:sz w:val="22"/>
          <w:szCs w:val="22"/>
          <w:rtl w:val="0"/>
        </w:rPr>
        <w:t xml:space="preserve">3. Dor do lojista → solução coletiva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Lojistas independentes gastam com marketing sem previsibilidade. O diferencial que nenhum ponto de rua oferece: quando o Shopping Cidade divulga um evento (circo, maratoninha kids, lançamento de filme), todas as lojas ganham fluxo sem custo adicional. O criativo que comunica isso não está vendendo um espaço — está vendendo a solução de um problema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2185b" w:space="2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6"/>
          <w:szCs w:val="26"/>
          <w:rtl w:val="0"/>
        </w:rPr>
        <w:t xml:space="preserve">Segmentos prioritários — baseados em dados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Selecionados por tamanho de mercado, perfil do lojista e alinhamento com os diferenciais do Shopping Cidade. Dados de fontes setoriais independentes.</w:t>
      </w:r>
      <w:r w:rsidDel="00000000" w:rsidR="00000000" w:rsidRPr="00000000">
        <w:rPr>
          <w:rtl w:val="0"/>
        </w:rPr>
      </w:r>
    </w:p>
    <w:tbl>
      <w:tblPr>
        <w:tblStyle w:val="Table1"/>
        <w:tblW w:w="97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200"/>
        <w:gridCol w:w="1800"/>
        <w:gridCol w:w="1951"/>
        <w:tblGridChange w:id="0">
          <w:tblGrid>
            <w:gridCol w:w="1600"/>
            <w:gridCol w:w="2200"/>
            <w:gridCol w:w="2200"/>
            <w:gridCol w:w="1800"/>
            <w:gridCol w:w="19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Dor central do lojista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Ângulo Meta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Moda Feminina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R$ 314,9 bi em 2025; 92% das varejistas cresceram em fev/2025 (ABVTEX)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Marketing individual caro e imprevisível; sazonalidade concentrada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"O shopping faz o marketing. Sua loja colhe o fluxo."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Moda Infantil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~R$ 68 bi em 2024; crescimento de 8% a.a.; varejo especializado = 61% das vendas (IEMI)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Sazonalidade em 3 datas/ano; cliente-pai precisa de conveniência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"Eventos kids trazem mães. Mães compram roupa de criança."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Calçados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R$ 81,5 bi em 2025; calçados = item mais comprado nos últimos 3 meses por 55% dos consumidores (Opinion Box, 2026); 60% compram em loja física (IEMI)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Físico é insubstituível para conversão; ponto com pouco fluxo esvazia o argumento do provador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"Calçado se prova. Aqui já tem quem provar."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Bijuterias / Semijoias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Mercado de joias em US$ 3,59 bi (2024); CAGR 8,31% até 2029; crescimento impulsionado pela alta do ouro (Mordor Intelligence)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Opera em feiras e Instagram; precisa de ponto fixo com fluxo passante para compra por impulso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"Você já vende. Agora vende todo dia."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Suplementos /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+35,4% em vendas em 2023; setor quase dobrou em 4 anos; 59.891 academias ativas no Brasil (Confef/Itaú Unibanco)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Clientela recorrente exige estar "no caminho"; online pressiona preço mas não substitui o atendimento consultivo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"Seu cliente compra todo mês. Precisa te achar todo mês."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Pet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63,3 mi de consumidores potenciais nas classes C/D/E (PwC + Instituto Locomotiva, 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Grandes redes (Petz, Cobasi) focam em shoppings premium — lacuna real no popular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"Onde as grandes redes não chegaram, você lidera."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MÉDIA-ALTA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2185b" w:space="2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6"/>
          <w:szCs w:val="26"/>
          <w:rtl w:val="0"/>
        </w:rPr>
        <w:t xml:space="preserve">Como isso se converte em campanha no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A estrutura proposta mantém o objetivo Leads e cria um conjunto de anúncios por nicho, cada um com criativo, copy e formulário ajustados para o perfil do lojista daquele segmento. O aprendizado do algoritmo é compartilhado na campanha, mas os dados de conversão são rastreados por conjunto — permitindo pausar nichos que não convertem e escalar os que performam.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751"/>
        <w:tblGridChange w:id="0">
          <w:tblGrid>
            <w:gridCol w:w="2400"/>
            <w:gridCol w:w="3600"/>
            <w:gridCol w:w="37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0e4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Segmentação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5 conjuntos por tipo de público (interesses, lookalike)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 conjunto por nicho de lojista — cada um com criativo e copy específico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Ângulo do criativo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Genérico: 'lojas disponíveis, condições especiais'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Por dor: cada nicho recebe o argumento que resolve o problema específico daquele lojista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Formulário de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Genérico — não qualifica o perfil do lojista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Perguntas de qualificação por nicho: segmento, tempo de operação, estrutura 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Otimização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CPL como métrica central (sem feedback de qualidade)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0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CPL + taxa de agendamento por nicho, à medida que o comercial registra retorno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185b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4e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"As classes C, D e E representam 76% da população e respondem por quase metade do consumo nacional. O consumidor que frequenta o Shopping Cidade não é nicho — é maioria. O lojista que entender isso primeiro leva vantagem." — PwC Brasil + Instituto Locomotiva, 'Mercado da Maioria',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c2185b" w:space="2" w:sz="6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6"/>
          <w:szCs w:val="26"/>
          <w:rtl w:val="0"/>
        </w:rPr>
        <w:t xml:space="preserve">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Aprovação dos segmentos prioritários e da lógica estratégica pela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Definição dos 2-3 nichos para as primeiras produções de criativo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Briefing de criação por nicho (copy, formato, referências visuais, 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Revisão dos formulários de lead com perguntas de qualificação por segmento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Implementação de feedback loop com o comercial para rastreamento de qualidade por nicho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7"/>
          <w:szCs w:val="17"/>
          <w:rtl w:val="0"/>
        </w:rPr>
        <w:t xml:space="preserve">Documento de uso interno · Análise completa disponível mediante solicitação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