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line="240" w:lineRule="auto"/>
        <w:jc w:val="center"/>
      </w:pPr>
      <w:r>
        <w:rPr>
          <w:rFonts w:ascii="Calibri" w:hAnsi="Calibri" w:eastAsia="Calibri" w:cs="Calibri"/>
          <w:b/>
          <w:color w:val="2E74B5"/>
          <w:sz w:val="21"/>
        </w:rPr>
        <w:t>ENTERPRISE AI ARCHITECTURE</w:t>
      </w:r>
    </w:p>
    <w:p>
      <w:pPr>
        <w:spacing w:before="0" w:after="160" w:line="252" w:lineRule="auto"/>
        <w:jc w:val="center"/>
      </w:pPr>
      <w:r>
        <w:rPr>
          <w:rFonts w:ascii="Calibri" w:hAnsi="Calibri" w:eastAsia="Calibri" w:cs="Calibri"/>
          <w:b/>
          <w:color w:val="0B2545"/>
          <w:sz w:val="58"/>
        </w:rPr>
        <w:t>Enterprise AI Architecture Coaching Blueprint</w:t>
      </w:r>
    </w:p>
    <w:p>
      <w:pPr>
        <w:spacing w:before="0" w:after="560" w:line="276" w:lineRule="auto"/>
        <w:jc w:val="center"/>
      </w:pPr>
      <w:r>
        <w:rPr>
          <w:rFonts w:ascii="Calibri" w:hAnsi="Calibri" w:eastAsia="Calibri" w:cs="Calibri"/>
          <w:i/>
          <w:color w:val="1F4D78"/>
          <w:sz w:val="27"/>
        </w:rPr>
        <w:t>Pragmatic source of truth for planning, implementation, interviews, and presentations</w:t>
      </w:r>
    </w:p>
    <w:p>
      <w:pPr>
        <w:spacing w:before="0" w:after="440" w:line="240" w:lineRule="auto"/>
        <w:pBdr>
          <w:bottom w:val="single" w:sz="16" w:space="6"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130" w:type="dxa"/>
              <w:bottom w:w="130" w:type="dxa"/>
              <w:start w:w="120" w:type="dxa"/>
              <w:end w:w="120" w:type="dxa"/>
            </w:tcMar>
            <w:tcBorders>
              <w:top w:val="single" w:sz="7" w:space="0" w:color="B8C5D1"/>
              <w:start w:val="single" w:sz="7" w:space="0" w:color="B8C5D1"/>
              <w:bottom w:val="single" w:sz="7" w:space="0" w:color="B8C5D1"/>
              <w:end w:val="single" w:sz="7" w:space="0" w:color="B8C5D1"/>
              <w:insideH w:val="single" w:sz="7" w:space="0" w:color="B8C5D1"/>
              <w:insideV w:val="single" w:sz="7" w:space="0" w:color="B8C5D1"/>
            </w:tcBorders>
            <w:vAlign w:val="top"/>
            <w:shd w:fill="E8EEF5"/>
          </w:tcPr>
          <w:p>
            <w:pPr>
              <w:spacing w:before="0" w:after="0" w:line="288" w:lineRule="auto"/>
            </w:pPr>
            <w:r>
              <w:rPr>
                <w:rFonts w:ascii="Calibri" w:hAnsi="Calibri" w:eastAsia="Calibri" w:cs="Calibri"/>
                <w:b/>
                <w:color w:val="1F4D78"/>
                <w:sz w:val="21"/>
              </w:rPr>
              <w:t xml:space="preserve">Scope: </w:t>
            </w:r>
            <w:r>
              <w:rPr>
                <w:rFonts w:ascii="Calibri" w:hAnsi="Calibri" w:eastAsia="Calibri" w:cs="Calibri"/>
                <w:b w:val="0"/>
                <w:i w:val="0"/>
                <w:color w:val="0B2545"/>
                <w:sz w:val="21"/>
              </w:rPr>
              <w:t>Enterprise RAG + LLMs + controlled agentic AI on AWS, with Python, Terraform, EKS, GitHub Actions, SRE, and DevSecOps.</w:t>
            </w:r>
          </w:p>
        </w:tc>
      </w:tr>
    </w:tbl>
    <w:p>
      <w:pPr>
        <w:spacing w:before="0" w:after="2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130" w:type="dxa"/>
              <w:bottom w:w="130" w:type="dxa"/>
              <w:start w:w="120" w:type="dxa"/>
              <w:end w:w="120" w:type="dxa"/>
            </w:tcMar>
            <w:tcBorders>
              <w:top w:val="single" w:sz="7" w:space="0" w:color="B8C5D1"/>
              <w:start w:val="single" w:sz="7" w:space="0" w:color="B8C5D1"/>
              <w:bottom w:val="single" w:sz="7" w:space="0" w:color="B8C5D1"/>
              <w:end w:val="single" w:sz="7" w:space="0" w:color="B8C5D1"/>
              <w:insideH w:val="single" w:sz="7" w:space="0" w:color="B8C5D1"/>
              <w:insideV w:val="single" w:sz="7" w:space="0" w:color="B8C5D1"/>
            </w:tcBorders>
            <w:vAlign w:val="top"/>
            <w:shd w:fill="F8FAFC"/>
          </w:tcPr>
          <w:p>
            <w:pPr>
              <w:spacing w:before="0" w:after="0" w:line="288" w:lineRule="auto"/>
            </w:pPr>
            <w:r>
              <w:rPr>
                <w:rFonts w:ascii="Calibri" w:hAnsi="Calibri" w:eastAsia="Calibri" w:cs="Calibri"/>
                <w:b/>
                <w:color w:val="1F4D78"/>
                <w:sz w:val="21"/>
              </w:rPr>
              <w:t xml:space="preserve">Audience: </w:t>
            </w:r>
            <w:r>
              <w:rPr>
                <w:rFonts w:ascii="Calibri" w:hAnsi="Calibri" w:eastAsia="Calibri" w:cs="Calibri"/>
                <w:b w:val="0"/>
                <w:i w:val="0"/>
                <w:color w:val="0B2545"/>
                <w:sz w:val="21"/>
              </w:rPr>
              <w:t>One engineer with Python/cloud knowledge who is new to enterprise AI architecture.</w:t>
            </w:r>
          </w:p>
        </w:tc>
      </w:tr>
    </w:tbl>
    <w:p>
      <w:pPr>
        <w:spacing w:before="0" w:after="20" w:line="240" w:lineRule="auto"/>
      </w:pPr>
    </w:p>
    <w:p>
      <w:pPr>
        <w:spacing w:before="520" w:after="100" w:line="240" w:lineRule="auto"/>
        <w:jc w:val="center"/>
      </w:pPr>
      <w:r>
        <w:rPr>
          <w:rFonts w:ascii="Calibri" w:hAnsi="Calibri" w:eastAsia="Calibri" w:cs="Calibri"/>
          <w:b/>
          <w:color w:val="5B6573"/>
          <w:sz w:val="19"/>
        </w:rPr>
        <w:t>PRIORITY MODEL</w:t>
      </w:r>
    </w:p>
    <w:p>
      <w:pPr>
        <w:spacing w:before="0" w:after="0" w:line="288" w:lineRule="auto"/>
        <w:jc w:val="center"/>
      </w:pPr>
      <w:r>
        <w:rPr>
          <w:rFonts w:ascii="Calibri" w:hAnsi="Calibri" w:eastAsia="Calibri" w:cs="Calibri"/>
          <w:b/>
          <w:i w:val="0"/>
          <w:color w:val="1F4D78"/>
          <w:sz w:val="20"/>
        </w:rPr>
        <w:t>MUST</w:t>
      </w:r>
      <w:r>
        <w:rPr>
          <w:rFonts w:ascii="Calibri" w:hAnsi="Calibri" w:eastAsia="Calibri" w:cs="Calibri"/>
          <w:b w:val="0"/>
          <w:i w:val="0"/>
          <w:color w:val="0B2545"/>
          <w:sz w:val="20"/>
        </w:rPr>
        <w:t xml:space="preserve"> = required for the six-week MVP; </w:t>
      </w:r>
      <w:r>
        <w:rPr>
          <w:rFonts w:ascii="Calibri" w:hAnsi="Calibri" w:eastAsia="Calibri" w:cs="Calibri"/>
          <w:b/>
          <w:i w:val="0"/>
          <w:color w:val="7A5A00"/>
          <w:sz w:val="20"/>
        </w:rPr>
        <w:t>SHOULD</w:t>
      </w:r>
      <w:r>
        <w:rPr>
          <w:rFonts w:ascii="Calibri" w:hAnsi="Calibri" w:eastAsia="Calibri" w:cs="Calibri"/>
          <w:b w:val="0"/>
          <w:i w:val="0"/>
          <w:color w:val="0B2545"/>
          <w:sz w:val="20"/>
        </w:rPr>
        <w:t xml:space="preserve"> = hardening immediately after the vertical slice; </w:t>
      </w:r>
      <w:r>
        <w:rPr>
          <w:rFonts w:ascii="Calibri" w:hAnsi="Calibri" w:eastAsia="Calibri" w:cs="Calibri"/>
          <w:b/>
          <w:i w:val="0"/>
          <w:color w:val="5B6573"/>
          <w:sz w:val="20"/>
        </w:rPr>
        <w:t>OPTIONAL</w:t>
      </w:r>
      <w:r>
        <w:rPr>
          <w:rFonts w:ascii="Calibri" w:hAnsi="Calibri" w:eastAsia="Calibri" w:cs="Calibri"/>
          <w:b w:val="0"/>
          <w:i w:val="0"/>
          <w:color w:val="0B2545"/>
          <w:sz w:val="20"/>
        </w:rPr>
        <w:t xml:space="preserve"> = learn or adopt only when a measured requirement justifies it.</w:t>
      </w:r>
    </w:p>
    <w:p>
      <w:pPr>
        <w:sectPr>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08" w:footer="708" w:gutter="0"/>
          <w:cols w:space="720"/>
          <w:docGrid w:linePitch="360"/>
        </w:sectPr>
      </w:pPr>
    </w:p>
    <w:p>
      <w:pPr>
        <w:pStyle w:val="Heading1"/>
        <w:pageBreakBefore w:val="0"/>
        <w:spacing w:before="0"/>
      </w:pPr>
      <w:r>
        <w:t>Reader’s Guide</w:t>
      </w:r>
    </w:p>
    <w:tbl>
      <w:tblPr>
        <w:tblW w:type="dxa" w:w="9360"/>
        <w:jc w:val="left"/>
        <w:tblLayout w:type="fixed"/>
        <w:tblLook w:firstColumn="1" w:firstRow="1" w:lastColumn="0" w:lastRow="0" w:noHBand="0" w:noVBand="1" w:val="04A0"/>
        <w:tblInd w:w="120" w:type="dxa"/>
      </w:tblPr>
      <w:tblGrid>
        <w:gridCol w:w="9360"/>
      </w:tblGrid>
      <w:tr>
        <w:tc>
          <w:tcPr>
            <w:tcW w:type="dxa" w:w="9360"/>
            <w:tcMar>
              <w:top w:w="130" w:type="dxa"/>
              <w:bottom w:w="130" w:type="dxa"/>
              <w:start w:w="120" w:type="dxa"/>
              <w:end w:w="120" w:type="dxa"/>
            </w:tcMar>
            <w:tcBorders>
              <w:top w:val="single" w:sz="7" w:space="0" w:color="B8C5D1"/>
              <w:start w:val="single" w:sz="7" w:space="0" w:color="B8C5D1"/>
              <w:bottom w:val="single" w:sz="7" w:space="0" w:color="B8C5D1"/>
              <w:end w:val="single" w:sz="7" w:space="0" w:color="B8C5D1"/>
              <w:insideH w:val="single" w:sz="7" w:space="0" w:color="B8C5D1"/>
              <w:insideV w:val="single" w:sz="7" w:space="0" w:color="B8C5D1"/>
            </w:tcBorders>
            <w:vAlign w:val="top"/>
            <w:shd w:fill="F8FAFC"/>
          </w:tcPr>
          <w:p>
            <w:pPr>
              <w:spacing w:before="0" w:after="0" w:line="288" w:lineRule="auto"/>
            </w:pPr>
            <w:r>
              <w:rPr>
                <w:rFonts w:ascii="Calibri" w:hAnsi="Calibri" w:eastAsia="Calibri" w:cs="Calibri"/>
                <w:b/>
                <w:color w:val="1F4D78"/>
                <w:sz w:val="21"/>
              </w:rPr>
              <w:t xml:space="preserve">Source of truth: </w:t>
            </w:r>
            <w:r>
              <w:rPr>
                <w:rFonts w:ascii="Calibri" w:hAnsi="Calibri" w:eastAsia="Calibri" w:cs="Calibri"/>
                <w:b w:val="0"/>
                <w:i w:val="0"/>
                <w:color w:val="0B2545"/>
                <w:sz w:val="21"/>
              </w:rPr>
              <w:t>This Word edition preserves the complete coaching blueprint. The architecture is rendered as a presentation-ready figure, and its editable Mermaid source remains directly below it.</w:t>
            </w:r>
          </w:p>
        </w:tc>
      </w:tr>
    </w:tbl>
    <w:p>
      <w:pPr>
        <w:spacing w:before="0" w:after="20" w:line="240" w:lineRule="auto"/>
      </w:pPr>
    </w:p>
    <w:p>
      <w:pPr>
        <w:pStyle w:val="Heading2"/>
      </w:pPr>
      <w:r>
        <w:t>Contents</w:t>
      </w:r>
    </w:p>
    <w:tbl>
      <w:tblPr>
        <w:tblW w:type="dxa" w:w="9360"/>
        <w:tblLayout w:type="fixed"/>
        <w:tblLook w:firstColumn="1" w:firstRow="1" w:lastColumn="0" w:lastRow="0" w:noHBand="0" w:noVBand="1" w:val="04A0"/>
        <w:jc w:val="left"/>
        <w:tblInd w:w="120" w:type="dxa"/>
      </w:tblPr>
      <w:tblGrid>
        <w:gridCol w:w="800"/>
        <w:gridCol w:w="8560"/>
      </w:tblGrid>
      <w:tr>
        <w:trPr>
          <w:tblHeader w:val="true"/>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8"/>
              </w:rPr>
              <w:t>Major section</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01</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Executive Summary</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02</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MVP Definition and Architecture Principles</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03</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Architecture Blueprint</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04</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Required Stack: Adoption Map</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05</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Decision Matrix</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06</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6 Week Implementation Plan</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07</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Repo Skeleton + Example Codex Prompts</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08</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Terraform &amp; Security Templates</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09</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Observability &amp; SRE</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10</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Testing &amp; CI/CD</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11</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Learning Resources</w:t>
            </w:r>
          </w:p>
        </w:tc>
      </w:tr>
      <w:tr>
        <w:trPr>
          <w:cantSplit w:val="true"/>
        </w:trPr>
        <w:tc>
          <w:tcPr>
            <w:tcW w:type="dxa" w:w="80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12</w:t>
            </w:r>
          </w:p>
        </w:tc>
        <w:tc>
          <w:tcPr>
            <w:tcW w:type="dxa" w:w="85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Vendor Cost, Privacy, and Migration Rules</w:t>
            </w:r>
          </w:p>
        </w:tc>
      </w:tr>
      <w:tr>
        <w:trPr>
          <w:cantSplit w:val="true"/>
        </w:trPr>
        <w:tc>
          <w:tcPr>
            <w:tcW w:type="dxa" w:w="80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center"/>
            </w:pPr>
            <w:r>
              <w:rPr>
                <w:rFonts w:ascii="Calibri" w:hAnsi="Calibri" w:eastAsia="Calibri" w:cs="Calibri"/>
                <w:b/>
                <w:i w:val="0"/>
                <w:color w:val="2E74B5"/>
                <w:sz w:val="18"/>
              </w:rPr>
              <w:t>13</w:t>
            </w:r>
          </w:p>
        </w:tc>
        <w:tc>
          <w:tcPr>
            <w:tcW w:type="dxa" w:w="85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8"/>
              </w:rPr>
              <w:t>Next Steps &amp; Quick Wins</w:t>
            </w:r>
          </w:p>
        </w:tc>
      </w:tr>
    </w:tbl>
    <w:p>
      <w:pPr>
        <w:spacing w:before="0" w:after="20" w:line="240" w:lineRule="auto"/>
      </w:pPr>
    </w:p>
    <w:p>
      <w:pPr>
        <w:pStyle w:val="Heading2"/>
      </w:pPr>
      <w:r>
        <w:t>How to use this document</w:t>
      </w:r>
    </w:p>
    <w:p>
      <w:pPr>
        <w:spacing w:before="0" w:after="80" w:line="300" w:lineRule="auto"/>
        <w:numPr>
          <w:ilvl w:val="0"/>
          <w:numId w:val="10"/>
        </w:numPr>
      </w:pPr>
      <w:r>
        <w:rPr>
          <w:rFonts w:ascii="Calibri" w:hAnsi="Calibri" w:eastAsia="Calibri" w:cs="Calibri"/>
          <w:b w:val="0"/>
          <w:i w:val="0"/>
          <w:color w:val="0B2545"/>
          <w:sz w:val="21"/>
        </w:rPr>
        <w:t>Read the Executive Summary, MVP Definition, and Architecture Blueprint first to understand the system goal.</w:t>
      </w:r>
    </w:p>
    <w:p>
      <w:pPr>
        <w:spacing w:before="0" w:after="80" w:line="300" w:lineRule="auto"/>
        <w:numPr>
          <w:ilvl w:val="0"/>
          <w:numId w:val="10"/>
        </w:numPr>
      </w:pPr>
      <w:r>
        <w:rPr>
          <w:rFonts w:ascii="Calibri" w:hAnsi="Calibri" w:eastAsia="Calibri" w:cs="Calibri"/>
          <w:b w:val="0"/>
          <w:i w:val="0"/>
          <w:color w:val="0B2545"/>
          <w:sz w:val="21"/>
        </w:rPr>
        <w:t>Use the 6 Week Implementation Plan as the delivery sequence; treat each acceptance criterion as a checkpoint.</w:t>
      </w:r>
    </w:p>
    <w:p>
      <w:pPr>
        <w:spacing w:before="0" w:after="80" w:line="300" w:lineRule="auto"/>
        <w:numPr>
          <w:ilvl w:val="0"/>
          <w:numId w:val="10"/>
        </w:numPr>
      </w:pPr>
      <w:r>
        <w:rPr>
          <w:rFonts w:ascii="Calibri" w:hAnsi="Calibri" w:eastAsia="Calibri" w:cs="Calibri"/>
          <w:b w:val="0"/>
          <w:i w:val="0"/>
          <w:color w:val="0B2545"/>
          <w:sz w:val="21"/>
        </w:rPr>
        <w:t>Paste the Codex prompts into your coding workflow one component at a time and review every generated diff.</w:t>
      </w:r>
    </w:p>
    <w:p>
      <w:pPr>
        <w:spacing w:before="0" w:after="80" w:line="300" w:lineRule="auto"/>
        <w:numPr>
          <w:ilvl w:val="0"/>
          <w:numId w:val="10"/>
        </w:numPr>
      </w:pPr>
      <w:r>
        <w:rPr>
          <w:rFonts w:ascii="Calibri" w:hAnsi="Calibri" w:eastAsia="Calibri" w:cs="Calibri"/>
          <w:b w:val="0"/>
          <w:i w:val="0"/>
          <w:color w:val="0B2545"/>
          <w:sz w:val="21"/>
        </w:rPr>
        <w:t>Use the SRE, testing, security, and learning sections for interview preparation and design-review discussions.</w:t>
      </w:r>
    </w:p>
    <w:p>
      <w:r>
        <w:br w:type="page"/>
      </w:r>
    </w:p>
    <w:p>
      <w:pPr>
        <w:pStyle w:val="Heading1"/>
      </w:pPr>
      <w:r>
        <w:t>Executive Summary</w:t>
      </w:r>
    </w:p>
    <w:p>
      <w:pPr>
        <w:spacing w:before="0" w:after="120" w:line="300" w:lineRule="auto"/>
      </w:pPr>
      <w:r>
        <w:rPr>
          <w:rFonts w:ascii="Calibri" w:hAnsi="Calibri" w:eastAsia="Calibri" w:cs="Calibri"/>
          <w:b w:val="0"/>
          <w:i w:val="0"/>
          <w:color w:val="0B2545"/>
          <w:sz w:val="22"/>
        </w:rPr>
        <w:t>Build one narrow, measurable vertical slice first: ingest a small approved document set, detect/redact PII, embed it, retrieve from Qdrant locally or OpenSearch on AWS, generate a cited answer through a provider-neutral LLM interface, and expose it through FastAPI. Add a bounded LangGraph workflow only after retrieval quality is measured; every consequential tool action must use allowlists, least privilege, budgets, timeouts, and human approval.</w:t>
      </w:r>
    </w:p>
    <w:p>
      <w:pPr>
        <w:spacing w:before="0" w:after="120" w:line="300" w:lineRule="auto"/>
      </w:pPr>
      <w:r>
        <w:rPr>
          <w:rFonts w:ascii="Calibri" w:hAnsi="Calibri" w:eastAsia="Calibri" w:cs="Calibri"/>
          <w:b w:val="0"/>
          <w:i w:val="0"/>
          <w:color w:val="0B2545"/>
          <w:sz w:val="22"/>
        </w:rPr>
        <w:t xml:space="preserve">The six-week MVP proves local RAG, AWS </w:t>
      </w:r>
      <w:r>
        <w:rPr>
          <w:rFonts w:ascii="DejaVu Sans Mono" w:hAnsi="DejaVu Sans Mono" w:eastAsia="DejaVu Sans Mono" w:cs="DejaVu Sans Mono"/>
          <w:color w:val="1F4D78"/>
          <w:sz w:val="21"/>
          <w:shd w:fill="F2F4F7"/>
        </w:rPr>
        <w:t>terraform plan</w:t>
      </w:r>
      <w:r>
        <w:rPr>
          <w:rFonts w:ascii="Calibri" w:hAnsi="Calibri" w:eastAsia="Calibri" w:cs="Calibri"/>
          <w:b w:val="0"/>
          <w:i w:val="0"/>
          <w:color w:val="0B2545"/>
          <w:sz w:val="22"/>
        </w:rPr>
        <w:t>, unit/integration tests, secure CI, evaluation, telemetry, and a sandbox deployment. The rest of the requested ecosystem is retained in a prioritized adoption map so the system remains teachable and operable instead of becoming a tool-collection exercise.</w:t>
      </w:r>
    </w:p>
    <w:p>
      <w:r>
        <w:br w:type="page"/>
      </w:r>
    </w:p>
    <w:p>
      <w:pPr>
        <w:spacing w:before="0" w:after="0" w:line="240" w:lineRule="auto"/>
      </w:pPr>
      <w:r>
        <w:rPr>
          <w:rFonts w:ascii="Calibri" w:hAnsi="Calibri" w:eastAsia="Calibri" w:cs="Calibri"/>
          <w:color w:val="FFFFFF"/>
          <w:sz w:val="96"/>
        </w:rPr>
        <w:t xml:space="preserve"> </w:t>
      </w:r>
    </w:p>
    <w:p>
      <w:pPr>
        <w:pStyle w:val="Heading1"/>
      </w:pPr>
      <w:r>
        <w:t>MVP Definition and Architecture Principles</w:t>
      </w:r>
    </w:p>
    <w:p>
      <w:pPr>
        <w:pStyle w:val="Heading2"/>
      </w:pPr>
      <w:r>
        <w:t>Six-week MVP</w:t>
      </w:r>
    </w:p>
    <w:p>
      <w:pPr>
        <w:spacing w:before="0" w:after="120" w:line="300" w:lineRule="auto"/>
      </w:pPr>
      <w:r>
        <w:rPr>
          <w:rFonts w:ascii="Calibri" w:hAnsi="Calibri" w:eastAsia="Calibri" w:cs="Calibri"/>
          <w:b w:val="0"/>
          <w:i w:val="0"/>
          <w:color w:val="0B2545"/>
          <w:sz w:val="22"/>
        </w:rPr>
        <w:t>The MVP is complete when all of these are true:</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pip install -r requirements.txt</w:t>
      </w:r>
      <w:r>
        <w:rPr>
          <w:rFonts w:ascii="Calibri" w:hAnsi="Calibri" w:eastAsia="Calibri" w:cs="Calibri"/>
          <w:b w:val="0"/>
          <w:i w:val="0"/>
          <w:color w:val="0B2545"/>
          <w:sz w:val="22"/>
        </w:rPr>
        <w:t xml:space="preserve"> succeeds on Python 3.11.</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docker compose up -d qdrant</w:t>
      </w:r>
      <w:r>
        <w:rPr>
          <w:rFonts w:ascii="Calibri" w:hAnsi="Calibri" w:eastAsia="Calibri" w:cs="Calibri"/>
          <w:b w:val="0"/>
          <w:i w:val="0"/>
          <w:color w:val="0B2545"/>
          <w:sz w:val="22"/>
        </w:rPr>
        <w:t xml:space="preserve"> starts the local vector store.</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a small approved dataset can be ingested and queried; answers contain source identifiers and abstain when evidence is insufficient.</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the vector store, embedder, and LLM are selected by configuration through typed interfaces.</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a bounded LangGraph workflow performs retrieve → grade evidence → generate or abstain; one mock write-action demonstrates human approval.</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pytest tests/unit</w:t>
      </w:r>
      <w:r>
        <w:rPr>
          <w:rFonts w:ascii="Calibri" w:hAnsi="Calibri" w:eastAsia="Calibri" w:cs="Calibri"/>
          <w:b w:val="0"/>
          <w:i w:val="0"/>
          <w:color w:val="0B2545"/>
          <w:sz w:val="22"/>
        </w:rPr>
        <w:t xml:space="preserve"> passes without AWS or paid API access; marked integration tests run against Qdrant/LocalStack or a sandbox.</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terraform plan</w:t>
      </w:r>
      <w:r>
        <w:rPr>
          <w:rFonts w:ascii="Calibri" w:hAnsi="Calibri" w:eastAsia="Calibri" w:cs="Calibri"/>
          <w:b w:val="0"/>
          <w:i w:val="0"/>
          <w:color w:val="0B2545"/>
          <w:sz w:val="22"/>
        </w:rPr>
        <w:t xml:space="preserve"> succeeds for a sandbox AWS account without placing secret values in Terraform state.</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CI runs formatting, linting, tests, secret scanning, IaC scanning, container scanning, SBOM generation, and policy tests.</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API, retrieval, model, token, guardrail, and failure telemetry is exported through OpenTelemetry.</w:t>
      </w:r>
    </w:p>
    <w:p>
      <w:pPr>
        <w:spacing w:before="0" w:after="80" w:line="300" w:lineRule="auto"/>
        <w:numPr>
          <w:ilvl w:val="0"/>
          <w:numId w:val="11"/>
        </w:numPr>
      </w:pPr>
      <w:r>
        <w:rPr>
          <w:rFonts w:ascii="Calibri" w:hAnsi="Calibri" w:eastAsia="Calibri" w:cs="Calibri"/>
          <w:b/>
          <w:i w:val="0"/>
          <w:color w:val="1F4D78"/>
          <w:sz w:val="22"/>
        </w:rPr>
        <w:t>MUST</w:t>
      </w:r>
      <w:r>
        <w:rPr>
          <w:rFonts w:ascii="Calibri" w:hAnsi="Calibri" w:eastAsia="Calibri" w:cs="Calibri"/>
          <w:b w:val="0"/>
          <w:i w:val="0"/>
          <w:color w:val="0B2545"/>
          <w:sz w:val="22"/>
        </w:rPr>
        <w:t xml:space="preserve"> a golden evaluation set establishes baseline retrieval recall, faithfulness/groundedness, answer correctness, latency, and cost.</w:t>
      </w:r>
    </w:p>
    <w:p>
      <w:r>
        <w:br w:type="page"/>
      </w:r>
    </w:p>
    <w:p>
      <w:pPr>
        <w:spacing w:before="0" w:after="0" w:line="240" w:lineRule="auto"/>
      </w:pPr>
      <w:r>
        <w:rPr>
          <w:rFonts w:ascii="Calibri" w:hAnsi="Calibri" w:eastAsia="Calibri" w:cs="Calibri"/>
          <w:color w:val="FFFFFF"/>
          <w:sz w:val="96"/>
        </w:rPr>
        <w:t xml:space="preserve"> </w:t>
      </w:r>
    </w:p>
    <w:p>
      <w:pPr>
        <w:pStyle w:val="Heading2"/>
      </w:pPr>
      <w:r>
        <w:t>Principles to learn and apply</w:t>
      </w:r>
    </w:p>
    <w:p>
      <w:pPr>
        <w:spacing w:before="0" w:after="80" w:line="300" w:lineRule="auto"/>
        <w:numPr>
          <w:ilvl w:val="0"/>
          <w:numId w:val="12"/>
        </w:numPr>
      </w:pPr>
      <w:r>
        <w:rPr>
          <w:rFonts w:ascii="Calibri" w:hAnsi="Calibri" w:eastAsia="Calibri" w:cs="Calibri"/>
          <w:b/>
          <w:i w:val="0"/>
          <w:color w:val="0B2545"/>
          <w:sz w:val="22"/>
        </w:rPr>
        <w:t>Retrieval before fine-tuning.</w:t>
      </w:r>
      <w:r>
        <w:rPr>
          <w:rFonts w:ascii="Calibri" w:hAnsi="Calibri" w:eastAsia="Calibri" w:cs="Calibri"/>
          <w:b w:val="0"/>
          <w:i w:val="0"/>
          <w:color w:val="0B2545"/>
          <w:sz w:val="22"/>
        </w:rPr>
        <w:t xml:space="preserve"> Use RAG for current or proprietary knowledge. Fine-tune only after evaluations show a stable behavior/style/task gap that prompting and retrieval cannot solve.</w:t>
      </w:r>
    </w:p>
    <w:p>
      <w:pPr>
        <w:spacing w:before="0" w:after="80" w:line="300" w:lineRule="auto"/>
        <w:numPr>
          <w:ilvl w:val="0"/>
          <w:numId w:val="12"/>
        </w:numPr>
      </w:pPr>
      <w:r>
        <w:rPr>
          <w:rFonts w:ascii="Calibri" w:hAnsi="Calibri" w:eastAsia="Calibri" w:cs="Calibri"/>
          <w:b/>
          <w:i w:val="0"/>
          <w:color w:val="0B2545"/>
          <w:sz w:val="22"/>
        </w:rPr>
        <w:t>Separate control plane and data plane.</w:t>
      </w:r>
      <w:r>
        <w:rPr>
          <w:rFonts w:ascii="Calibri" w:hAnsi="Calibri" w:eastAsia="Calibri" w:cs="Calibri"/>
          <w:b w:val="0"/>
          <w:i w:val="0"/>
          <w:color w:val="0B2545"/>
          <w:sz w:val="22"/>
        </w:rPr>
        <w:t xml:space="preserve"> Terraform, CI/CD, model/prompt registry, policies, and evaluation gates govern the system; runtime APIs, retrievers, models, and tools serve requests.</w:t>
      </w:r>
    </w:p>
    <w:p>
      <w:pPr>
        <w:spacing w:before="0" w:after="80" w:line="300" w:lineRule="auto"/>
        <w:numPr>
          <w:ilvl w:val="0"/>
          <w:numId w:val="12"/>
        </w:numPr>
      </w:pPr>
      <w:r>
        <w:rPr>
          <w:rFonts w:ascii="Calibri" w:hAnsi="Calibri" w:eastAsia="Calibri" w:cs="Calibri"/>
          <w:b/>
          <w:i w:val="0"/>
          <w:color w:val="0B2545"/>
          <w:sz w:val="22"/>
        </w:rPr>
        <w:t>Treat retrieved text and tool output as untrusted input.</w:t>
      </w:r>
      <w:r>
        <w:rPr>
          <w:rFonts w:ascii="Calibri" w:hAnsi="Calibri" w:eastAsia="Calibri" w:cs="Calibri"/>
          <w:b w:val="0"/>
          <w:i w:val="0"/>
          <w:color w:val="0B2545"/>
          <w:sz w:val="22"/>
        </w:rPr>
        <w:t xml:space="preserve"> Defend against prompt injection, malformed content, data poisoning, over-broad access, and cross-tenant retrieval.</w:t>
      </w:r>
    </w:p>
    <w:p>
      <w:pPr>
        <w:spacing w:before="0" w:after="80" w:line="300" w:lineRule="auto"/>
        <w:numPr>
          <w:ilvl w:val="0"/>
          <w:numId w:val="12"/>
        </w:numPr>
      </w:pPr>
      <w:r>
        <w:rPr>
          <w:rFonts w:ascii="Calibri" w:hAnsi="Calibri" w:eastAsia="Calibri" w:cs="Calibri"/>
          <w:b/>
          <w:i w:val="0"/>
          <w:color w:val="0B2545"/>
          <w:sz w:val="22"/>
        </w:rPr>
        <w:t>Authorization must happen before retrieval and before action.</w:t>
      </w:r>
      <w:r>
        <w:rPr>
          <w:rFonts w:ascii="Calibri" w:hAnsi="Calibri" w:eastAsia="Calibri" w:cs="Calibri"/>
          <w:b w:val="0"/>
          <w:i w:val="0"/>
          <w:color w:val="0B2545"/>
          <w:sz w:val="22"/>
        </w:rPr>
        <w:t xml:space="preserve"> Filter documents using trusted metadata/identity attributes; never rely on the model to enforce access.</w:t>
      </w:r>
    </w:p>
    <w:p>
      <w:pPr>
        <w:spacing w:before="0" w:after="80" w:line="300" w:lineRule="auto"/>
        <w:numPr>
          <w:ilvl w:val="0"/>
          <w:numId w:val="12"/>
        </w:numPr>
      </w:pPr>
      <w:r>
        <w:rPr>
          <w:rFonts w:ascii="Calibri" w:hAnsi="Calibri" w:eastAsia="Calibri" w:cs="Calibri"/>
          <w:b/>
          <w:i w:val="0"/>
          <w:color w:val="0B2545"/>
          <w:sz w:val="22"/>
        </w:rPr>
        <w:t>Agents are workflows with probabilistic steps.</w:t>
      </w:r>
      <w:r>
        <w:rPr>
          <w:rFonts w:ascii="Calibri" w:hAnsi="Calibri" w:eastAsia="Calibri" w:cs="Calibri"/>
          <w:b w:val="0"/>
          <w:i w:val="0"/>
          <w:color w:val="0B2545"/>
          <w:sz w:val="22"/>
        </w:rPr>
        <w:t xml:space="preserve"> Keep routing, budgets, retry limits, approvals, and terminal states deterministic. Give tools narrow schemas and idempotency keys.</w:t>
      </w:r>
    </w:p>
    <w:p>
      <w:pPr>
        <w:spacing w:before="0" w:after="80" w:line="300" w:lineRule="auto"/>
        <w:numPr>
          <w:ilvl w:val="0"/>
          <w:numId w:val="12"/>
        </w:numPr>
      </w:pPr>
      <w:r>
        <w:rPr>
          <w:rFonts w:ascii="Calibri" w:hAnsi="Calibri" w:eastAsia="Calibri" w:cs="Calibri"/>
          <w:b/>
          <w:i w:val="0"/>
          <w:color w:val="0B2545"/>
          <w:sz w:val="22"/>
        </w:rPr>
        <w:t>Quality is a release gate.</w:t>
      </w:r>
      <w:r>
        <w:rPr>
          <w:rFonts w:ascii="Calibri" w:hAnsi="Calibri" w:eastAsia="Calibri" w:cs="Calibri"/>
          <w:b w:val="0"/>
          <w:i w:val="0"/>
          <w:color w:val="0B2545"/>
          <w:sz w:val="22"/>
        </w:rPr>
        <w:t xml:space="preserve"> Version documents, chunking, embeddings, prompts, models, graphs, and evaluation datasets together. Do not promote on subjective demonstrations alone.</w:t>
      </w:r>
    </w:p>
    <w:p>
      <w:pPr>
        <w:spacing w:before="0" w:after="80" w:line="300" w:lineRule="auto"/>
        <w:numPr>
          <w:ilvl w:val="0"/>
          <w:numId w:val="12"/>
        </w:numPr>
      </w:pPr>
      <w:r>
        <w:rPr>
          <w:rFonts w:ascii="Calibri" w:hAnsi="Calibri" w:eastAsia="Calibri" w:cs="Calibri"/>
          <w:b/>
          <w:i w:val="0"/>
          <w:color w:val="0B2545"/>
          <w:sz w:val="22"/>
        </w:rPr>
        <w:t>Observe each stage.</w:t>
      </w:r>
      <w:r>
        <w:rPr>
          <w:rFonts w:ascii="Calibri" w:hAnsi="Calibri" w:eastAsia="Calibri" w:cs="Calibri"/>
          <w:b w:val="0"/>
          <w:i w:val="0"/>
          <w:color w:val="0B2545"/>
          <w:sz w:val="22"/>
        </w:rPr>
        <w:t xml:space="preserve"> Record safe metadata for ingestion, retrieval, reranking, model generation, guardrails, and tools. Avoid logging raw prompts, secrets, PII, or full retrieved documents.</w:t>
      </w:r>
    </w:p>
    <w:p>
      <w:pPr>
        <w:spacing w:before="0" w:after="80" w:line="300" w:lineRule="auto"/>
        <w:numPr>
          <w:ilvl w:val="0"/>
          <w:numId w:val="12"/>
        </w:numPr>
      </w:pPr>
      <w:r>
        <w:rPr>
          <w:rFonts w:ascii="Calibri" w:hAnsi="Calibri" w:eastAsia="Calibri" w:cs="Calibri"/>
          <w:b/>
          <w:i w:val="0"/>
          <w:color w:val="0B2545"/>
          <w:sz w:val="22"/>
        </w:rPr>
        <w:t>Design for provider exit.</w:t>
      </w:r>
      <w:r>
        <w:rPr>
          <w:rFonts w:ascii="Calibri" w:hAnsi="Calibri" w:eastAsia="Calibri" w:cs="Calibri"/>
          <w:b w:val="0"/>
          <w:i w:val="0"/>
          <w:color w:val="0B2545"/>
          <w:sz w:val="22"/>
        </w:rPr>
        <w:t xml:space="preserve"> Keep provider SDK objects at adapter boundaries and use normalized domain types internally.</w:t>
      </w:r>
    </w:p>
    <w:p>
      <w:pPr>
        <w:spacing w:before="0" w:after="80" w:line="300" w:lineRule="auto"/>
        <w:numPr>
          <w:ilvl w:val="0"/>
          <w:numId w:val="12"/>
        </w:numPr>
      </w:pPr>
      <w:r>
        <w:rPr>
          <w:rFonts w:ascii="Calibri" w:hAnsi="Calibri" w:eastAsia="Calibri" w:cs="Calibri"/>
          <w:b/>
          <w:i w:val="0"/>
          <w:color w:val="0B2545"/>
          <w:sz w:val="22"/>
        </w:rPr>
        <w:t>Fail safely.</w:t>
      </w:r>
      <w:r>
        <w:rPr>
          <w:rFonts w:ascii="Calibri" w:hAnsi="Calibri" w:eastAsia="Calibri" w:cs="Calibri"/>
          <w:b w:val="0"/>
          <w:i w:val="0"/>
          <w:color w:val="0B2545"/>
          <w:sz w:val="22"/>
        </w:rPr>
        <w:t xml:space="preserve"> Prefer abstention, read-only fallback, cached approved answers, circuit breakers, and human escalation over fabricated or uncontrolled actions.</w:t>
      </w:r>
    </w:p>
    <w:p>
      <w:pPr>
        <w:spacing w:before="0" w:after="80" w:line="300" w:lineRule="auto"/>
        <w:numPr>
          <w:ilvl w:val="0"/>
          <w:numId w:val="12"/>
        </w:numPr>
      </w:pPr>
      <w:r>
        <w:rPr>
          <w:rFonts w:ascii="Calibri" w:hAnsi="Calibri" w:eastAsia="Calibri" w:cs="Calibri"/>
          <w:b/>
          <w:i w:val="0"/>
          <w:color w:val="0B2545"/>
          <w:sz w:val="22"/>
        </w:rPr>
        <w:t>Optimize after measurement.</w:t>
      </w:r>
      <w:r>
        <w:rPr>
          <w:rFonts w:ascii="Calibri" w:hAnsi="Calibri" w:eastAsia="Calibri" w:cs="Calibri"/>
          <w:b w:val="0"/>
          <w:i w:val="0"/>
          <w:color w:val="0B2545"/>
          <w:sz w:val="22"/>
        </w:rPr>
        <w:t xml:space="preserve"> Tune chunking, </w:t>
      </w:r>
      <w:r>
        <w:rPr>
          <w:rFonts w:ascii="DejaVu Sans Mono" w:hAnsi="DejaVu Sans Mono" w:eastAsia="DejaVu Sans Mono" w:cs="DejaVu Sans Mono"/>
          <w:color w:val="1F4D78"/>
          <w:sz w:val="21"/>
          <w:shd w:fill="F2F4F7"/>
        </w:rPr>
        <w:t>top_k</w:t>
      </w:r>
      <w:r>
        <w:rPr>
          <w:rFonts w:ascii="Calibri" w:hAnsi="Calibri" w:eastAsia="Calibri" w:cs="Calibri"/>
          <w:b w:val="0"/>
          <w:i w:val="0"/>
          <w:color w:val="0B2545"/>
          <w:sz w:val="22"/>
        </w:rPr>
        <w:t>, reranking, models, quantization, HPA, and caching only from evaluation and production evidence.</w:t>
      </w:r>
    </w:p>
    <w:p>
      <w:r>
        <w:br w:type="page"/>
      </w:r>
    </w:p>
    <w:p>
      <w:pPr>
        <w:spacing w:before="0" w:after="0" w:line="240" w:lineRule="auto"/>
      </w:pPr>
      <w:r>
        <w:rPr>
          <w:rFonts w:ascii="Calibri" w:hAnsi="Calibri" w:eastAsia="Calibri" w:cs="Calibri"/>
          <w:color w:val="FFFFFF"/>
          <w:sz w:val="96"/>
        </w:rPr>
        <w:t xml:space="preserve"> </w:t>
      </w:r>
    </w:p>
    <w:p>
      <w:pPr>
        <w:pStyle w:val="Heading1"/>
      </w:pPr>
      <w:r>
        <w:t>Architecture Blueprint</w:t>
      </w:r>
    </w:p>
    <w:p>
      <w:pPr>
        <w:spacing w:before="40" w:after="0" w:line="240" w:lineRule="auto"/>
        <w:jc w:val="center"/>
      </w:pPr>
      <w:r>
        <w:drawing>
          <wp:inline xmlns:a="http://schemas.openxmlformats.org/drawingml/2006/main" xmlns:pic="http://schemas.openxmlformats.org/drawingml/2006/picture">
            <wp:extent cx="5806440" cy="4024412"/>
            <wp:docPr id="1" name="Picture 1" title="Enterprise AI architecture blueprint" descr="The request-time RAG and agent workflow connects to Bedrock, SageMaker, OpenSearch, and Qdrant. An ingestion plane prepares approved documents. Security, CI/CD, Terraform, and observability controls surround both planes."/>
            <wp:cNvGraphicFramePr>
              <a:graphicFrameLocks noChangeAspect="1"/>
            </wp:cNvGraphicFramePr>
            <a:graphic>
              <a:graphicData uri="http://schemas.openxmlformats.org/drawingml/2006/picture">
                <pic:pic>
                  <pic:nvPicPr>
                    <pic:cNvPr id="0" name="enterprise_ai_architecture_blueprint.png"/>
                    <pic:cNvPicPr/>
                  </pic:nvPicPr>
                  <pic:blipFill>
                    <a:blip r:embed="rId21"/>
                    <a:stretch>
                      <a:fillRect/>
                    </a:stretch>
                  </pic:blipFill>
                  <pic:spPr>
                    <a:xfrm>
                      <a:off x="0" y="0"/>
                      <a:ext cx="5806440" cy="4024412"/>
                    </a:xfrm>
                    <a:prstGeom prst="rect"/>
                  </pic:spPr>
                </pic:pic>
              </a:graphicData>
            </a:graphic>
          </wp:inline>
        </w:drawing>
      </w:r>
    </w:p>
    <w:p>
      <w:pPr>
        <w:pStyle w:val="FigureCaption"/>
        <w:jc w:val="center"/>
      </w:pPr>
      <w:r>
        <w:t>Figure 1. Enterprise AI architecture blueprint</w:t>
      </w:r>
    </w:p>
    <w:p>
      <w:r>
        <w:br w:type="page"/>
      </w:r>
    </w:p>
    <w:p>
      <w:pPr>
        <w:spacing w:before="0" w:after="0" w:line="240" w:lineRule="auto"/>
      </w:pPr>
      <w:r>
        <w:rPr>
          <w:rFonts w:ascii="Calibri" w:hAnsi="Calibri" w:eastAsia="Calibri" w:cs="Calibri"/>
          <w:color w:val="FFFFFF"/>
          <w:sz w:val="96"/>
        </w:rPr>
        <w:t xml:space="preserve"> </w:t>
      </w:r>
    </w:p>
    <w:p>
      <w:pPr>
        <w:pStyle w:val="Heading2"/>
      </w:pPr>
      <w:r>
        <w:t>Editable Mermaid source</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MERMAID SOURCE</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flowchart TD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U["User / approved client"] --&gt; E["ALB or API Gateway"]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 --&gt; API["FastAPI RAG service on EKS"]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API --&gt; G["Guardrails + identity policy"]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G --&gt; LG["LangGraph controller"]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LG --&gt; R["Pluggable retriever"]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LG --&gt; L["Pluggable LLM provider"]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LG --&gt; T["Allowlisted tools + approval"]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 --&gt; O["OpenSearch vectors on AWS"]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 --&gt; Q["Qdrant local / 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 --&gt; B["Amazon Bedrock"]</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 --&gt; S["SageMaker endpoint / external provider"]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D["Approved sources"] --&gt; S3["S3 versioned landing zone"]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S3 --&gt; I["Glue / Lambda ingestion"]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 --&gt; P["Quality + Macie/Presidio PII checks"]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 --&gt; EM["Embedding + metadata pipeline"]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EM --&gt; 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EB["EventBridge"] --&gt; SF["Step Functions"]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SF --&gt; 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API --&gt; OT["OpenTelemetry Collector"]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LG --&gt; OT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 --&gt; OT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OT --&gt; CW["CloudWatch / X-Ray"]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OT --&gt; PG["Prometheus / Grafana / Jaeger"]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SEC["IAM, KMS, Secrets Manager"] --&gt; API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SEC --&gt; 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CT["CloudTrail + audit logs"] --&gt; CW</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CICD["GitHub Actions + OIDC + policy gates"] --&gt; ECR["ECR + signed/SBOM image"]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ECR --&gt; API</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TF["Terraform modules"] --&gt; AWS["VPC, EKS, S3, OpenSearch, IAM"]</w:t>
      </w:r>
    </w:p>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2"/>
      </w:pPr>
      <w:r>
        <w:t>Component rationale</w:t>
      </w:r>
    </w:p>
    <w:tbl>
      <w:tblPr>
        <w:tblW w:type="dxa" w:w="9360"/>
        <w:tblLayout w:type="fixed"/>
        <w:tblLook w:firstColumn="1" w:firstRow="1" w:lastColumn="0" w:lastRow="0" w:noHBand="0" w:noVBand="1" w:val="04A0"/>
        <w:jc w:val="left"/>
        <w:tblInd w:w="120" w:type="dxa"/>
      </w:tblPr>
      <w:tblGrid>
        <w:gridCol w:w="2520"/>
        <w:gridCol w:w="3060"/>
        <w:gridCol w:w="3780"/>
      </w:tblGrid>
      <w:tr>
        <w:trPr>
          <w:tblHeader w:val="true"/>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Component</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Priority</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Why it exists</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FastAPI/Uvicorn</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Thin API boundary with typed request/response contracts, health endpoints, auth context, timeouts, and streaming-ready responses.</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LangChain</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Provider integrations and reusable prompt/retrieval components; keep domain logic independent of its concrete objects.</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LangGraph</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Explicit state machine for bounded routing, durable state, retries, approval, and terminal outcomes.</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Qdrant</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r>
              <w:rPr>
                <w:rFonts w:ascii="Calibri" w:hAnsi="Calibri" w:eastAsia="Calibri" w:cs="Calibri"/>
                <w:b w:val="0"/>
                <w:i w:val="0"/>
                <w:color w:val="0B2545"/>
                <w:sz w:val="17"/>
              </w:rPr>
              <w:t xml:space="preserve"> local</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Simple Docker-based local vector service, filters, and a realistic client/server integration target.</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OpenSearch vectors</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r>
              <w:rPr>
                <w:rFonts w:ascii="Calibri" w:hAnsi="Calibri" w:eastAsia="Calibri" w:cs="Calibri"/>
                <w:b w:val="0"/>
                <w:i w:val="0"/>
                <w:color w:val="0B2545"/>
                <w:sz w:val="17"/>
              </w:rPr>
              <w:t xml:space="preserve"> AWS plan; </w:t>
            </w:r>
            <w:r>
              <w:rPr>
                <w:rFonts w:ascii="Calibri" w:hAnsi="Calibri" w:eastAsia="Calibri" w:cs="Calibri"/>
                <w:b/>
                <w:i w:val="0"/>
                <w:color w:val="7A5A00"/>
                <w:sz w:val="17"/>
              </w:rPr>
              <w:t>SHOULD</w:t>
            </w:r>
            <w:r>
              <w:rPr>
                <w:rFonts w:ascii="Calibri" w:hAnsi="Calibri" w:eastAsia="Calibri" w:cs="Calibri"/>
                <w:b w:val="0"/>
                <w:i w:val="0"/>
                <w:color w:val="0B2545"/>
                <w:sz w:val="17"/>
              </w:rPr>
              <w:t xml:space="preserve"> deploy</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AWS-native hybrid keyword/vector retrieval, VPC placement, IAM, encryption, and audit integration.</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Bedrock adapter</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Primary AWS LLM boundary; model ID is configuration, not hard-coded.</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520"/>
        <w:gridCol w:w="3060"/>
        <w:gridCol w:w="3780"/>
      </w:tblGrid>
      <w:tr>
        <w:trPr>
          <w:tblHeader w:val="true"/>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Component</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Priority</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Why it exists</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Sentence Transformers</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No-paid-key local embeddings for development and deterministic integration tests.</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S3 + ingestion pipeline</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Versioned source of truth; documents are scanned, normalized, chunked, tagged, and embedded asynchronously.</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Presidio + Macie</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Presidio supports local PII detection/redaction; Macie discovers sensitive data in S3. Neither replaces classification and human governance.</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OpenTelemetry</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Vendor-neutral traces/metrics/log correlation across API, retrieval, LLM, and tools.</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Secrets Manager + KMS + IAM</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Runtime retrieval of encrypted secret values and least-privilege workload identity. No values in Git, images, Terraform variables, or state.</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GitHub Actions + OIDC</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Short-lived AWS credentials, repeatable test/security gates, artifacts, and controlled promotion.</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520"/>
        <w:gridCol w:w="3060"/>
        <w:gridCol w:w="3780"/>
      </w:tblGrid>
      <w:tr>
        <w:trPr>
          <w:tblHeader w:val="true"/>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Component</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Priority</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Why it exists</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EKS/ECR</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r>
              <w:rPr>
                <w:rFonts w:ascii="Calibri" w:hAnsi="Calibri" w:eastAsia="Calibri" w:cs="Calibri"/>
                <w:b w:val="0"/>
                <w:i w:val="0"/>
                <w:color w:val="0B2545"/>
                <w:sz w:val="17"/>
              </w:rPr>
              <w:t xml:space="preserve"> in week 6</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Enterprise runtime path and container registry. Local MVP remains runnable without the cluster.</w:t>
            </w:r>
          </w:p>
        </w:tc>
      </w:tr>
      <w:tr>
        <w:trPr>
          <w:cantSplit w:val="true"/>
        </w:trPr>
        <w:tc>
          <w:tcPr>
            <w:tcW w:type="dxa" w:w="252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SageMaker</w:t>
            </w:r>
          </w:p>
        </w:tc>
        <w:tc>
          <w:tcPr>
            <w:tcW w:type="dxa" w:w="306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SHOULD/OPTIONAL</w:t>
            </w:r>
          </w:p>
        </w:tc>
        <w:tc>
          <w:tcPr>
            <w:tcW w:type="dxa" w:w="378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Use endpoints/model registry when hosting or fine-tuning models is justified. Bedrock needs no custom model serving layer for the MVP.</w:t>
            </w:r>
          </w:p>
        </w:tc>
      </w:tr>
      <w:tr>
        <w:trPr>
          <w:cantSplit w:val="true"/>
        </w:trPr>
        <w:tc>
          <w:tcPr>
            <w:tcW w:type="dxa" w:w="252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Step Functions/EventBridge</w:t>
            </w:r>
          </w:p>
        </w:tc>
        <w:tc>
          <w:tcPr>
            <w:tcW w:type="dxa" w:w="306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p>
        </w:tc>
        <w:tc>
          <w:tcPr>
            <w:tcW w:type="dxa" w:w="378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Durable AWS ingestion/re-index orchestration and event-driven scheduling; do not use them for the request-time agent loop.</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Required Stack: Adoption Map</w:t>
      </w:r>
    </w:p>
    <w:tbl>
      <w:tblPr>
        <w:tblW w:type="dxa" w:w="9360"/>
        <w:tblLayout w:type="fixed"/>
        <w:tblLook w:firstColumn="1" w:firstRow="1" w:lastColumn="0" w:lastRow="0" w:noHBand="0" w:noVBand="1" w:val="04A0"/>
        <w:jc w:val="left"/>
        <w:tblInd w:w="120" w:type="dxa"/>
      </w:tblPr>
      <w:tblGrid>
        <w:gridCol w:w="1901"/>
        <w:gridCol w:w="3729"/>
        <w:gridCol w:w="3730"/>
      </w:tblGrid>
      <w:tr>
        <w:trPr>
          <w:tblHeader w:val="true"/>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Area</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MVP choice</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Later choices and when to use them</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Classical/Deep ML</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one scikit-learn baseline and a PyTorch Lightning training skeleton</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PyTorch/Lightning/Transformers + PEFT/LoRA in weeks 9–10 only when a measured task gap requires training. SHAP/LIME apply to classical/non-LLM models, not as an LLM faithfulness substitute.</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Agent frameworks</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LangGraph</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AutoGen AgentChat to compare multi-agent patterns. AutoGen Studio is for prototyping, not the production UI. Anthropic workflow patterns are design references, not a required runtime dependency.</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OpenAI patterns</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 provider adapter</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Do not start on the deprecated Assistants API. Model tool calls, conversation state, approvals, and tracing behind your own interfaces; use current Responses/Conversations patterns if OpenAI is approved.</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Evaluation</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custom deterministic tests + Ragas</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w:t>
            </w:r>
            <w:r>
              <w:rPr>
                <w:rFonts w:ascii="Calibri" w:hAnsi="Calibri" w:eastAsia="Calibri" w:cs="Calibri"/>
                <w:b w:val="0"/>
                <w:i w:val="0"/>
                <w:color w:val="0B2545"/>
                <w:sz w:val="17"/>
              </w:rPr>
              <w:t xml:space="preserve"> DeepEval for regression suites; LangSmith for traces/evaluation if privacy review permits. Keep a portable JSONL golden set.</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Guardrails</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deterministic input/output checks, allowlists, schema validation, citations, abstention</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w:t>
            </w:r>
            <w:r>
              <w:rPr>
                <w:rFonts w:ascii="Calibri" w:hAnsi="Calibri" w:eastAsia="Calibri" w:cs="Calibri"/>
                <w:b w:val="0"/>
                <w:i w:val="0"/>
                <w:color w:val="0B2545"/>
                <w:sz w:val="17"/>
              </w:rPr>
              <w:t xml:space="preserve"> Guardrails AI for declarative validators. Bedrock Guardrails can be an AWS-specific adapter.</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Serving</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FastAPI/Uvicorn</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Ray Serve for Python-native distributed model composition; Triton for optimized GPU inference; SageMaker endpoints for managed hosting/autoscaling/governance.</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1901"/>
        <w:gridCol w:w="3729"/>
        <w:gridCol w:w="3730"/>
      </w:tblGrid>
      <w:tr>
        <w:trPr>
          <w:tblHeader w:val="true"/>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Area</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MVP choice</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Later choices and when to use them</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Model monitoring</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OTel + evaluation metrics</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Arize, WhyLabs, or Fiddler after privacy, residency, and licensing review. Export redacted attributes only. Datadog/New Relic are similarly optional OTLP destinations.</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Model/feature ops</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w:t>
            </w:r>
            <w:r>
              <w:rPr>
                <w:rFonts w:ascii="Calibri" w:hAnsi="Calibri" w:eastAsia="Calibri" w:cs="Calibri"/>
                <w:b w:val="0"/>
                <w:i w:val="0"/>
                <w:color w:val="0B2545"/>
                <w:sz w:val="17"/>
              </w:rPr>
              <w:t xml:space="preserve"> SageMaker Model Registry for custom models</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MLflow for portable/self-hosted registry. Feast/SageMaker Feature Store is useful for structured ML features; it is not required for document RAG.</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Vector stores</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Qdrant local + OpenSearch AWS adapters</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FAISS/Chroma for notebooks; Milvus for large self-managed scale; Weaviate/Qdrant for OSS feature depth; Pinecone for managed convenience. Each backend must pass the same contract tests.</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Batch data</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w:t>
            </w:r>
            <w:r>
              <w:rPr>
                <w:rFonts w:ascii="Calibri" w:hAnsi="Calibri" w:eastAsia="Calibri" w:cs="Calibri"/>
                <w:b w:val="0"/>
                <w:i w:val="0"/>
                <w:color w:val="0B2545"/>
                <w:sz w:val="17"/>
              </w:rPr>
              <w:t xml:space="preserve"> Glue Spark</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Airflow/MWAA for complex cross-system DAG ownership; Step Functions for AWS-native service orchestration. Great Expectations is the default code-first quality tool; Soda/Monte Carlo are optional managed/observability layers.</w:t>
            </w:r>
          </w:p>
        </w:tc>
      </w:tr>
      <w:tr>
        <w:trPr>
          <w:cantSplit w:val="true"/>
        </w:trPr>
        <w:tc>
          <w:tcPr>
            <w:tcW w:type="dxa" w:w="190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Streaming</w:t>
            </w:r>
          </w:p>
        </w:tc>
        <w:tc>
          <w:tcPr>
            <w:tcW w:type="dxa" w:w="372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w:t>
            </w:r>
            <w:r>
              <w:rPr>
                <w:rFonts w:ascii="Calibri" w:hAnsi="Calibri" w:eastAsia="Calibri" w:cs="Calibri"/>
                <w:b w:val="0"/>
                <w:i w:val="0"/>
                <w:color w:val="0B2545"/>
                <w:sz w:val="17"/>
              </w:rPr>
              <w:t xml:space="preserve"> EventBridge for control events</w:t>
            </w:r>
          </w:p>
        </w:tc>
        <w:tc>
          <w:tcPr>
            <w:tcW w:type="dxa" w:w="373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Kinesis for AWS-native high-throughput streams, MSK/Kafka for Kafka compatibility/ecosystem, Flink for stateful event-time processing. None is needed for the initial document corpus.</w:t>
            </w:r>
          </w:p>
        </w:tc>
      </w:tr>
      <w:tr>
        <w:trPr>
          <w:cantSplit w:val="true"/>
        </w:trPr>
        <w:tc>
          <w:tcPr>
            <w:tcW w:type="dxa" w:w="190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IaC/config</w:t>
            </w:r>
          </w:p>
        </w:tc>
        <w:tc>
          <w:tcPr>
            <w:tcW w:type="dxa" w:w="372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w:t>
            </w:r>
            <w:r>
              <w:rPr>
                <w:rFonts w:ascii="Calibri" w:hAnsi="Calibri" w:eastAsia="Calibri" w:cs="Calibri"/>
                <w:b w:val="0"/>
                <w:i w:val="0"/>
                <w:color w:val="0B2545"/>
                <w:sz w:val="17"/>
              </w:rPr>
              <w:t xml:space="preserve"> Terraform</w:t>
            </w:r>
          </w:p>
        </w:tc>
        <w:tc>
          <w:tcPr>
            <w:tcW w:type="dxa" w:w="373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Ansible only for EC2/bootstrap/configuration tasks. Do not use it to configure immutable EKS application containers. Sentinel is optional for HCP Terraform/Terraform Enterprise; OPA is the portable default.</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Decision Matrix</w:t>
      </w:r>
    </w:p>
    <w:p>
      <w:pPr>
        <w:pStyle w:val="Heading2"/>
      </w:pPr>
      <w:r>
        <w:t>Vector databases</w:t>
      </w:r>
    </w:p>
    <w:p>
      <w:pPr>
        <w:spacing w:before="0" w:after="120" w:line="300" w:lineRule="auto"/>
      </w:pPr>
      <w:r>
        <w:rPr>
          <w:rFonts w:ascii="Calibri" w:hAnsi="Calibri" w:eastAsia="Calibri" w:cs="Calibri"/>
          <w:b w:val="0"/>
          <w:i w:val="0"/>
          <w:color w:val="0B2545"/>
          <w:sz w:val="22"/>
        </w:rPr>
        <w:t>Scores: 1 = weak, 5 = strong for this project. Cost is relative and workload-dependent.</w:t>
      </w:r>
    </w:p>
    <w:tbl>
      <w:tblPr>
        <w:tblW w:type="dxa" w:w="9360"/>
        <w:tblLayout w:type="fixed"/>
        <w:tblLook w:firstColumn="1" w:firstRow="1" w:lastColumn="0" w:lastRow="0" w:noHBand="0" w:noVBand="1" w:val="04A0"/>
        <w:jc w:val="left"/>
        <w:tblInd w:w="120" w:type="dxa"/>
      </w:tblPr>
      <w:tblGrid>
        <w:gridCol w:w="1182"/>
        <w:gridCol w:w="925"/>
        <w:gridCol w:w="925"/>
        <w:gridCol w:w="977"/>
        <w:gridCol w:w="1131"/>
        <w:gridCol w:w="1002"/>
        <w:gridCol w:w="1954"/>
        <w:gridCol w:w="1264"/>
      </w:tblGrid>
      <w:tr>
        <w:trPr>
          <w:tblHeader w:val="true"/>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Option</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Local DX</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AWS fit</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Ops burden</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Hybrid/filtering</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Portability</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Cost/privacy note</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Decision</w:t>
            </w:r>
          </w:p>
        </w:tc>
      </w:tr>
      <w:tr>
        <w:trPr>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Qdrant</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Local is low-cost; cloud/self-hosted production needs backup, HA, patching, and residency review.</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4"/>
              </w:rPr>
              <w:t>MUST local</w:t>
            </w:r>
          </w:p>
        </w:tc>
      </w:tr>
      <w:tr>
        <w:trPr>
          <w:cantSplit w:val="true"/>
        </w:trPr>
        <w:tc>
          <w:tcPr>
            <w:tcW w:type="dxa" w:w="118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OpenSearch Service</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97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13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100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195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Managed domains can carry a meaningful idle baseline; keep in private subnets and size down sandbox.</w:t>
            </w:r>
          </w:p>
        </w:tc>
        <w:tc>
          <w:tcPr>
            <w:tcW w:type="dxa" w:w="126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4"/>
              </w:rPr>
              <w:t>MUST AWS target</w:t>
            </w:r>
          </w:p>
        </w:tc>
      </w:tr>
      <w:tr>
        <w:trPr>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FAISS</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1</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In-process and cheap, but lacks service-level tenancy, filters, HA, and operational controls.</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4"/>
              </w:rPr>
              <w:t>OPTIONAL notebook</w:t>
            </w:r>
          </w:p>
        </w:tc>
      </w:tr>
      <w:tr>
        <w:trPr>
          <w:cantSplit w:val="true"/>
        </w:trPr>
        <w:tc>
          <w:tcPr>
            <w:tcW w:type="dxa" w:w="118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Chroma</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97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113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100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95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Excellent learning/prototype path; validate production durability and security before use.</w:t>
            </w:r>
          </w:p>
        </w:tc>
        <w:tc>
          <w:tcPr>
            <w:tcW w:type="dxa" w:w="126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5B6573"/>
                <w:sz w:val="14"/>
              </w:rPr>
              <w:t>OPTIONAL</w:t>
            </w:r>
          </w:p>
        </w:tc>
      </w:tr>
      <w:tr>
        <w:trPr>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Milvus</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1</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Powerful at scale but a large operational footprint for one engineer. Zilliz Cloud reduces ops with SaaS residency review.</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4"/>
              </w:rPr>
              <w:t>OPTIONAL scale</w:t>
            </w:r>
          </w:p>
        </w:tc>
      </w:tr>
      <w:tr>
        <w:trPr>
          <w:cantSplit w:val="true"/>
        </w:trPr>
        <w:tc>
          <w:tcPr>
            <w:tcW w:type="dxa" w:w="118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Weaviate</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92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97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113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00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95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Rich ecosystem; self-hosted ops or SaaS cost/data-location considerations.</w:t>
            </w:r>
          </w:p>
        </w:tc>
        <w:tc>
          <w:tcPr>
            <w:tcW w:type="dxa" w:w="126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5B6573"/>
                <w:sz w:val="14"/>
              </w:rPr>
              <w:t>OPTIONAL</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1182"/>
        <w:gridCol w:w="925"/>
        <w:gridCol w:w="925"/>
        <w:gridCol w:w="977"/>
        <w:gridCol w:w="1131"/>
        <w:gridCol w:w="1002"/>
        <w:gridCol w:w="1954"/>
        <w:gridCol w:w="1264"/>
      </w:tblGrid>
      <w:tr>
        <w:trPr>
          <w:tblHeader w:val="true"/>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Option</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Local DX</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AWS fit</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Ops burden</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Hybrid/filtering</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Portability</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Cost/privacy note</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4"/>
              </w:rPr>
              <w:t>Decision</w:t>
            </w:r>
          </w:p>
        </w:tc>
      </w:tr>
      <w:tr>
        <w:trPr>
          <w:cantSplit w:val="true"/>
        </w:trPr>
        <w:tc>
          <w:tcPr>
            <w:tcW w:type="dxa" w:w="118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Pinecone</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92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3</w:t>
            </w:r>
          </w:p>
        </w:tc>
        <w:tc>
          <w:tcPr>
            <w:tcW w:type="dxa" w:w="97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5</w:t>
            </w:r>
          </w:p>
        </w:tc>
        <w:tc>
          <w:tcPr>
            <w:tcW w:type="dxa" w:w="113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4</w:t>
            </w:r>
          </w:p>
        </w:tc>
        <w:tc>
          <w:tcPr>
            <w:tcW w:type="dxa" w:w="10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2</w:t>
            </w:r>
          </w:p>
        </w:tc>
        <w:tc>
          <w:tcPr>
            <w:tcW w:type="dxa" w:w="195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4"/>
              </w:rPr>
              <w:t>Fast managed adoption; assess per-request/storage cost, egress, vendor exit, and regional availability.</w:t>
            </w:r>
          </w:p>
        </w:tc>
        <w:tc>
          <w:tcPr>
            <w:tcW w:type="dxa" w:w="126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4"/>
              </w:rPr>
              <w:t>OPTIONAL SaaS</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2"/>
      </w:pPr>
      <w:r>
        <w:t>Model serving</w:t>
      </w:r>
    </w:p>
    <w:tbl>
      <w:tblPr>
        <w:tblW w:type="dxa" w:w="9360"/>
        <w:tblLayout w:type="fixed"/>
        <w:tblLook w:firstColumn="1" w:firstRow="1" w:lastColumn="0" w:lastRow="0" w:noHBand="0" w:noVBand="1" w:val="04A0"/>
        <w:jc w:val="left"/>
        <w:tblInd w:w="120" w:type="dxa"/>
      </w:tblPr>
      <w:tblGrid>
        <w:gridCol w:w="1402"/>
        <w:gridCol w:w="2240"/>
        <w:gridCol w:w="2240"/>
        <w:gridCol w:w="2240"/>
        <w:gridCol w:w="1238"/>
      </w:tblGrid>
      <w:tr>
        <w:trPr>
          <w:tblHeader w:val="true"/>
          <w:cantSplit w:val="true"/>
        </w:trPr>
        <w:tc>
          <w:tcPr>
            <w:tcW w:type="dxa" w:w="14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6"/>
              </w:rPr>
              <w:t>Option</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6"/>
              </w:rPr>
              <w:t>Strengths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6"/>
              </w:rPr>
              <w:t>Limitations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6"/>
              </w:rPr>
              <w:t>Choose when</w:t>
            </w:r>
          </w:p>
        </w:tc>
        <w:tc>
          <w:tcPr>
            <w:tcW w:type="dxa" w:w="123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6"/>
              </w:rPr>
              <w:t>Priority</w:t>
            </w:r>
          </w:p>
        </w:tc>
      </w:tr>
      <w:tr>
        <w:trPr>
          <w:cantSplit w:val="true"/>
        </w:trPr>
        <w:tc>
          <w:tcPr>
            <w:tcW w:type="dxa" w:w="14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Bedrock API</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No GPU operations; AWS IAM, regional service, several model families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Per-token cost, quotas, model/region availability, provider-specific features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Consuming foundation models in the MVP</w:t>
            </w:r>
          </w:p>
        </w:tc>
        <w:tc>
          <w:tcPr>
            <w:tcW w:type="dxa" w:w="123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6"/>
              </w:rPr>
              <w:t>MUST</w:t>
            </w:r>
          </w:p>
        </w:tc>
      </w:tr>
      <w:tr>
        <w:trPr>
          <w:cantSplit w:val="true"/>
        </w:trPr>
        <w:tc>
          <w:tcPr>
            <w:tcW w:type="dxa" w:w="140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FastAPI/Uvicorn</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Simple typed service; easy tests and OTel</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Not a high-performance GPU inference server by itself</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Serving RAG orchestration and APIs</w:t>
            </w:r>
          </w:p>
        </w:tc>
        <w:tc>
          <w:tcPr>
            <w:tcW w:type="dxa" w:w="123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6"/>
              </w:rPr>
              <w:t>MUST</w:t>
            </w:r>
          </w:p>
        </w:tc>
      </w:tr>
      <w:tr>
        <w:trPr>
          <w:cantSplit w:val="true"/>
        </w:trPr>
        <w:tc>
          <w:tcPr>
            <w:tcW w:type="dxa" w:w="14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SageMaker endpoint</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Managed hosting, autoscaling, registry integration, deployment controls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Endpoint idle cost and AWS coupling</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Hosting approved custom/fine-tuned models</w:t>
            </w:r>
          </w:p>
        </w:tc>
        <w:tc>
          <w:tcPr>
            <w:tcW w:type="dxa" w:w="123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6"/>
              </w:rPr>
              <w:t>SHOULD</w:t>
            </w:r>
          </w:p>
        </w:tc>
      </w:tr>
      <w:tr>
        <w:trPr>
          <w:cantSplit w:val="true"/>
        </w:trPr>
        <w:tc>
          <w:tcPr>
            <w:tcW w:type="dxa" w:w="140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Ray Serve</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Python-native distributed composition and batching</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Cluster and operational complexity</w:t>
            </w:r>
          </w:p>
        </w:tc>
        <w:tc>
          <w:tcPr>
            <w:tcW w:type="dxa" w:w="224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Multiple Python models/pipelines need independent scaling</w:t>
            </w:r>
          </w:p>
        </w:tc>
        <w:tc>
          <w:tcPr>
            <w:tcW w:type="dxa" w:w="123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5B6573"/>
                <w:sz w:val="16"/>
              </w:rPr>
              <w:t>OPTIONAL</w:t>
            </w:r>
          </w:p>
        </w:tc>
      </w:tr>
      <w:tr>
        <w:trPr>
          <w:cantSplit w:val="true"/>
        </w:trPr>
        <w:tc>
          <w:tcPr>
            <w:tcW w:type="dxa" w:w="140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Triton</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Dynamic batching and optimized multi-framework GPU serving</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Steep packaging/GPU/Kubernetes operations</w:t>
            </w:r>
          </w:p>
        </w:tc>
        <w:tc>
          <w:tcPr>
            <w:tcW w:type="dxa" w:w="224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6"/>
              </w:rPr>
              <w:t>High-throughput self-hosted inference is proven necessary</w:t>
            </w:r>
          </w:p>
        </w:tc>
        <w:tc>
          <w:tcPr>
            <w:tcW w:type="dxa" w:w="123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5B6573"/>
                <w:sz w:val="16"/>
              </w:rPr>
              <w:t>OPTIONAL</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2"/>
      </w:pPr>
      <w:r>
        <w:t>Orchestration</w:t>
      </w:r>
    </w:p>
    <w:tbl>
      <w:tblPr>
        <w:tblW w:type="dxa" w:w="9360"/>
        <w:tblLayout w:type="fixed"/>
        <w:tblLook w:firstColumn="1" w:firstRow="1" w:lastColumn="0" w:lastRow="0" w:noHBand="0" w:noVBand="1" w:val="04A0"/>
        <w:jc w:val="left"/>
        <w:tblInd w:w="120" w:type="dxa"/>
      </w:tblPr>
      <w:tblGrid>
        <w:gridCol w:w="1488"/>
        <w:gridCol w:w="2918"/>
        <w:gridCol w:w="2918"/>
        <w:gridCol w:w="2036"/>
      </w:tblGrid>
      <w:tr>
        <w:trPr>
          <w:tblHeader w:val="true"/>
          <w:cantSplit w:val="true"/>
        </w:trPr>
        <w:tc>
          <w:tcPr>
            <w:tcW w:type="dxa" w:w="148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Option</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Best use</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Main trade-off</w:t>
            </w:r>
          </w:p>
        </w:tc>
        <w:tc>
          <w:tcPr>
            <w:tcW w:type="dxa" w:w="2036"/>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Decision</w:t>
            </w:r>
          </w:p>
        </w:tc>
      </w:tr>
      <w:tr>
        <w:trPr>
          <w:cantSplit w:val="true"/>
        </w:trPr>
        <w:tc>
          <w:tcPr>
            <w:tcW w:type="dxa" w:w="148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LangGraph</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Request-time deterministic + agentic graph, checkpoints, approval</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Framework dependency; graph/state schemas require discipline</w:t>
            </w:r>
          </w:p>
        </w:tc>
        <w:tc>
          <w:tcPr>
            <w:tcW w:type="dxa" w:w="2036"/>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r>
      <w:tr>
        <w:trPr>
          <w:cantSplit w:val="true"/>
        </w:trPr>
        <w:tc>
          <w:tcPr>
            <w:tcW w:type="dxa" w:w="148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LangChain</w:t>
            </w:r>
          </w:p>
        </w:tc>
        <w:tc>
          <w:tcPr>
            <w:tcW w:type="dxa" w:w="29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Model/retriever/tool building blocks</w:t>
            </w:r>
          </w:p>
        </w:tc>
        <w:tc>
          <w:tcPr>
            <w:tcW w:type="dxa" w:w="29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Complex abstractions can leak into domain code</w:t>
            </w:r>
          </w:p>
        </w:tc>
        <w:tc>
          <w:tcPr>
            <w:tcW w:type="dxa" w:w="2036"/>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r>
              <w:rPr>
                <w:rFonts w:ascii="Calibri" w:hAnsi="Calibri" w:eastAsia="Calibri" w:cs="Calibri"/>
                <w:b w:val="0"/>
                <w:i w:val="0"/>
                <w:color w:val="0B2545"/>
                <w:sz w:val="17"/>
              </w:rPr>
              <w:t>, behind interfaces</w:t>
            </w:r>
          </w:p>
        </w:tc>
      </w:tr>
      <w:tr>
        <w:trPr>
          <w:cantSplit w:val="true"/>
        </w:trPr>
        <w:tc>
          <w:tcPr>
            <w:tcW w:type="dxa" w:w="148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Step Functions</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Durable AWS ingestion and operational workflows</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State transitions/cost/latency are unsuitable for every token-level interaction</w:t>
            </w:r>
          </w:p>
        </w:tc>
        <w:tc>
          <w:tcPr>
            <w:tcW w:type="dxa" w:w="2036"/>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p>
        </w:tc>
      </w:tr>
      <w:tr>
        <w:trPr>
          <w:cantSplit w:val="true"/>
        </w:trPr>
        <w:tc>
          <w:tcPr>
            <w:tcW w:type="dxa" w:w="148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Airflow/MWAA</w:t>
            </w:r>
          </w:p>
        </w:tc>
        <w:tc>
          <w:tcPr>
            <w:tcW w:type="dxa" w:w="29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Data DAGs, backfills, schedules, data-team ownership</w:t>
            </w:r>
          </w:p>
        </w:tc>
        <w:tc>
          <w:tcPr>
            <w:tcW w:type="dxa" w:w="29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Heavier platform and slower control loop</w:t>
            </w:r>
          </w:p>
        </w:tc>
        <w:tc>
          <w:tcPr>
            <w:tcW w:type="dxa" w:w="2036"/>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5B6573"/>
                <w:sz w:val="17"/>
              </w:rPr>
              <w:t>OPTIONAL</w:t>
            </w:r>
          </w:p>
        </w:tc>
      </w:tr>
      <w:tr>
        <w:trPr>
          <w:cantSplit w:val="true"/>
        </w:trPr>
        <w:tc>
          <w:tcPr>
            <w:tcW w:type="dxa" w:w="148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AutoGen/Studio</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Explore multi-agent teams visually/code-first</w:t>
            </w:r>
          </w:p>
        </w:tc>
        <w:tc>
          <w:tcPr>
            <w:tcW w:type="dxa" w:w="29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 second agent runtime; Studio is not production-ready</w:t>
            </w:r>
          </w:p>
        </w:tc>
        <w:tc>
          <w:tcPr>
            <w:tcW w:type="dxa" w:w="2036"/>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OPTIONAL lab</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2"/>
      </w:pPr>
      <w:r>
        <w:t>Compute/infrastructure</w:t>
      </w:r>
    </w:p>
    <w:tbl>
      <w:tblPr>
        <w:tblW w:type="dxa" w:w="9360"/>
        <w:tblLayout w:type="fixed"/>
        <w:tblLook w:firstColumn="1" w:firstRow="1" w:lastColumn="0" w:lastRow="0" w:noHBand="0" w:noVBand="1" w:val="04A0"/>
        <w:jc w:val="left"/>
        <w:tblInd w:w="120" w:type="dxa"/>
      </w:tblPr>
      <w:tblGrid>
        <w:gridCol w:w="1950"/>
        <w:gridCol w:w="2768"/>
        <w:gridCol w:w="2651"/>
        <w:gridCol w:w="1991"/>
      </w:tblGrid>
      <w:tr>
        <w:trPr>
          <w:tblHeader w:val="true"/>
          <w:cantSplit w:val="true"/>
        </w:trPr>
        <w:tc>
          <w:tcPr>
            <w:tcW w:type="dxa" w:w="195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Option</w:t>
            </w:r>
          </w:p>
        </w:tc>
        <w:tc>
          <w:tcPr>
            <w:tcW w:type="dxa" w:w="27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Use</w:t>
            </w:r>
          </w:p>
        </w:tc>
        <w:tc>
          <w:tcPr>
            <w:tcW w:type="dxa" w:w="265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Trade-off</w:t>
            </w:r>
          </w:p>
        </w:tc>
        <w:tc>
          <w:tcPr>
            <w:tcW w:type="dxa" w:w="199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Priority</w:t>
            </w:r>
          </w:p>
        </w:tc>
      </w:tr>
      <w:tr>
        <w:trPr>
          <w:cantSplit w:val="true"/>
        </w:trPr>
        <w:tc>
          <w:tcPr>
            <w:tcW w:type="dxa" w:w="195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Local Docker Compose</w:t>
            </w:r>
          </w:p>
        </w:tc>
        <w:tc>
          <w:tcPr>
            <w:tcW w:type="dxa" w:w="27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Qdrant, app, OTel, Prometheus/Grafana/Jaeger</w:t>
            </w:r>
          </w:p>
        </w:tc>
        <w:tc>
          <w:tcPr>
            <w:tcW w:type="dxa" w:w="265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Not production HA/security</w:t>
            </w:r>
          </w:p>
        </w:tc>
        <w:tc>
          <w:tcPr>
            <w:tcW w:type="dxa" w:w="199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1F4D78"/>
                <w:sz w:val="17"/>
              </w:rPr>
              <w:t>MUST</w:t>
            </w:r>
          </w:p>
        </w:tc>
      </w:tr>
      <w:tr>
        <w:trPr>
          <w:cantSplit w:val="true"/>
        </w:trPr>
        <w:tc>
          <w:tcPr>
            <w:tcW w:type="dxa" w:w="195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Lambda</w:t>
            </w:r>
          </w:p>
        </w:tc>
        <w:tc>
          <w:tcPr>
            <w:tcW w:type="dxa" w:w="27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Event handlers, light ingestion, control operations</w:t>
            </w:r>
          </w:p>
        </w:tc>
        <w:tc>
          <w:tcPr>
            <w:tcW w:type="dxa" w:w="265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Duration/package/concurrency constraints</w:t>
            </w:r>
          </w:p>
        </w:tc>
        <w:tc>
          <w:tcPr>
            <w:tcW w:type="dxa" w:w="199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p>
        </w:tc>
      </w:tr>
      <w:tr>
        <w:trPr>
          <w:cantSplit w:val="true"/>
        </w:trPr>
        <w:tc>
          <w:tcPr>
            <w:tcW w:type="dxa" w:w="195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EKS + managed nodes/Fargate</w:t>
            </w:r>
          </w:p>
        </w:tc>
        <w:tc>
          <w:tcPr>
            <w:tcW w:type="dxa" w:w="27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API and extensible platform workloads</w:t>
            </w:r>
          </w:p>
        </w:tc>
        <w:tc>
          <w:tcPr>
            <w:tcW w:type="dxa" w:w="265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Highest platform complexity and baseline cost</w:t>
            </w:r>
          </w:p>
        </w:tc>
        <w:tc>
          <w:tcPr>
            <w:tcW w:type="dxa" w:w="199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7A5A00"/>
                <w:sz w:val="17"/>
              </w:rPr>
              <w:t>SHOULD</w:t>
            </w:r>
            <w:r>
              <w:rPr>
                <w:rFonts w:ascii="Calibri" w:hAnsi="Calibri" w:eastAsia="Calibri" w:cs="Calibri"/>
                <w:b w:val="0"/>
                <w:i w:val="0"/>
                <w:color w:val="0B2545"/>
                <w:sz w:val="17"/>
              </w:rPr>
              <w:t xml:space="preserve"> deployment target</w:t>
            </w:r>
          </w:p>
        </w:tc>
      </w:tr>
      <w:tr>
        <w:trPr>
          <w:cantSplit w:val="true"/>
        </w:trPr>
        <w:tc>
          <w:tcPr>
            <w:tcW w:type="dxa" w:w="1950"/>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ECS/Fargate</w:t>
            </w:r>
          </w:p>
        </w:tc>
        <w:tc>
          <w:tcPr>
            <w:tcW w:type="dxa" w:w="27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Simpler container operations</w:t>
            </w:r>
          </w:p>
        </w:tc>
        <w:tc>
          <w:tcPr>
            <w:tcW w:type="dxa" w:w="265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Less Kubernetes learning/control</w:t>
            </w:r>
          </w:p>
        </w:tc>
        <w:tc>
          <w:tcPr>
            <w:tcW w:type="dxa" w:w="199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Valid lower-ops alternative</w:t>
            </w:r>
          </w:p>
        </w:tc>
      </w:tr>
      <w:tr>
        <w:trPr>
          <w:cantSplit w:val="true"/>
        </w:trPr>
        <w:tc>
          <w:tcPr>
            <w:tcW w:type="dxa" w:w="1950"/>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SageMaker</w:t>
            </w:r>
          </w:p>
        </w:tc>
        <w:tc>
          <w:tcPr>
            <w:tcW w:type="dxa" w:w="27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Training/hosting/model governance</w:t>
            </w:r>
          </w:p>
        </w:tc>
        <w:tc>
          <w:tcPr>
            <w:tcW w:type="dxa" w:w="265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Specialized AWS service and cost</w:t>
            </w:r>
          </w:p>
        </w:tc>
        <w:tc>
          <w:tcPr>
            <w:tcW w:type="dxa" w:w="199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SHOULD/OPTIONAL</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6 Week Implementation Plan</w:t>
      </w:r>
    </w:p>
    <w:p>
      <w:pPr>
        <w:spacing w:before="0" w:after="120" w:line="300" w:lineRule="auto"/>
      </w:pPr>
      <w:r>
        <w:rPr>
          <w:rFonts w:ascii="Calibri" w:hAnsi="Calibri" w:eastAsia="Calibri" w:cs="Calibri"/>
          <w:b w:val="0"/>
          <w:i w:val="0"/>
          <w:color w:val="0B2545"/>
          <w:sz w:val="22"/>
        </w:rPr>
        <w:t>Assumption: 12–15 focused hours per week. If you have fewer than 10 hours, treat each row as two calendar weeks.</w:t>
      </w:r>
    </w:p>
    <w:tbl>
      <w:tblPr>
        <w:tblW w:type="dxa" w:w="9360"/>
        <w:tblLayout w:type="fixed"/>
        <w:tblLook w:firstColumn="1" w:firstRow="1" w:lastColumn="0" w:lastRow="0" w:noHBand="0" w:noVBand="1" w:val="04A0"/>
        <w:jc w:val="left"/>
        <w:tblInd w:w="120" w:type="dxa"/>
      </w:tblPr>
      <w:tblGrid>
        <w:gridCol w:w="1209"/>
        <w:gridCol w:w="2639"/>
        <w:gridCol w:w="2755"/>
        <w:gridCol w:w="2757"/>
      </w:tblGrid>
      <w:tr>
        <w:trPr>
          <w:tblHeader w:val="true"/>
          <w:cantSplit w:val="true"/>
        </w:trPr>
        <w:tc>
          <w:tcPr>
            <w:tcW w:type="dxa" w:w="120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Week</w:t>
            </w:r>
          </w:p>
        </w:tc>
        <w:tc>
          <w:tcPr>
            <w:tcW w:type="dxa" w:w="263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Priority and build outcome</w:t>
            </w:r>
          </w:p>
        </w:tc>
        <w:tc>
          <w:tcPr>
            <w:tcW w:type="dxa" w:w="27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Hands-on tasks</w:t>
            </w:r>
          </w:p>
        </w:tc>
        <w:tc>
          <w:tcPr>
            <w:tcW w:type="dxa" w:w="27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Acceptance criteria / checkpoint</w:t>
            </w:r>
          </w:p>
        </w:tc>
      </w:tr>
      <w:tr>
        <w:trPr>
          <w:cantSplit w:val="true"/>
        </w:trPr>
        <w:tc>
          <w:tcPr>
            <w:tcW w:type="dxa" w:w="120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1</w:t>
            </w:r>
          </w:p>
        </w:tc>
        <w:tc>
          <w:tcPr>
            <w:tcW w:type="dxa" w:w="263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 – contracts + local retrieval</w:t>
            </w:r>
          </w:p>
        </w:tc>
        <w:tc>
          <w:tcPr>
            <w:tcW w:type="dxa" w:w="27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 xml:space="preserve">Create repo/tooling; define </w:t>
            </w:r>
            <w:r>
              <w:rPr>
                <w:rFonts w:ascii="DejaVu Sans Mono" w:hAnsi="DejaVu Sans Mono" w:eastAsia="DejaVu Sans Mono" w:cs="DejaVu Sans Mono"/>
                <w:color w:val="1F4D78"/>
                <w:sz w:val="16"/>
                <w:shd w:fill="F2F4F7"/>
              </w:rPr>
              <w:t>Document</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Chunk</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RetrievedChunk</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Citation</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Answer</w:t>
            </w:r>
            <w:r>
              <w:rPr>
                <w:rFonts w:ascii="Calibri" w:hAnsi="Calibri" w:eastAsia="Calibri" w:cs="Calibri"/>
                <w:b w:val="0"/>
                <w:i w:val="0"/>
                <w:color w:val="0B2545"/>
                <w:sz w:val="17"/>
              </w:rPr>
              <w:t>; implement local sentence-transformer embedder; Qdrant adapter; deterministic chunker; sample dataset; unit tests.</w:t>
            </w:r>
          </w:p>
        </w:tc>
        <w:tc>
          <w:tcPr>
            <w:tcW w:type="dxa" w:w="27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Install works; Qdrant starts; ingest command is idempotent; retrieval returns expected source in top 5; unit tests pass. Explain chunk size/overlap and cosine similarity aloud.</w:t>
            </w:r>
          </w:p>
        </w:tc>
      </w:tr>
      <w:tr>
        <w:trPr>
          <w:cantSplit w:val="true"/>
        </w:trPr>
        <w:tc>
          <w:tcPr>
            <w:tcW w:type="dxa" w:w="120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2</w:t>
            </w:r>
          </w:p>
        </w:tc>
        <w:tc>
          <w:tcPr>
            <w:tcW w:type="dxa" w:w="263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 – cited RAG API + evaluation</w:t>
            </w:r>
          </w:p>
        </w:tc>
        <w:tc>
          <w:tcPr>
            <w:tcW w:type="dxa" w:w="27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Add LLM provider protocol, fake LLM, Bedrock adapter, prompt templates, FastAPI endpoints, abstention/citations, Ragas + custom JSONL harness, Presidio preprocessing, structured logs.</w:t>
            </w:r>
          </w:p>
        </w:tc>
        <w:tc>
          <w:tcPr>
            <w:tcW w:type="dxa" w:w="27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DejaVu Sans Mono" w:hAnsi="DejaVu Sans Mono" w:eastAsia="DejaVu Sans Mono" w:cs="DejaVu Sans Mono"/>
                <w:color w:val="1F4D78"/>
                <w:sz w:val="16"/>
                <w:shd w:fill="F2F4F7"/>
              </w:rPr>
              <w:t>/health/live</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/health/ready</w:t>
            </w:r>
            <w:r>
              <w:rPr>
                <w:rFonts w:ascii="Calibri" w:hAnsi="Calibri" w:eastAsia="Calibri" w:cs="Calibri"/>
                <w:b w:val="0"/>
                <w:i w:val="0"/>
                <w:color w:val="0B2545"/>
                <w:sz w:val="17"/>
              </w:rPr>
              <w:t xml:space="preserve">, </w:t>
            </w:r>
            <w:r>
              <w:rPr>
                <w:rFonts w:ascii="DejaVu Sans Mono" w:hAnsi="DejaVu Sans Mono" w:eastAsia="DejaVu Sans Mono" w:cs="DejaVu Sans Mono"/>
                <w:color w:val="1F4D78"/>
                <w:sz w:val="16"/>
                <w:shd w:fill="F2F4F7"/>
              </w:rPr>
              <w:t>/v1/query</w:t>
            </w:r>
            <w:r>
              <w:rPr>
                <w:rFonts w:ascii="Calibri" w:hAnsi="Calibri" w:eastAsia="Calibri" w:cs="Calibri"/>
                <w:b w:val="0"/>
                <w:i w:val="0"/>
                <w:color w:val="0B2545"/>
                <w:sz w:val="17"/>
              </w:rPr>
              <w:t>; 25+ golden questions; no-evidence test abstains; baseline recall@5, faithfulness, latency, token/cost estimates recorded.</w:t>
            </w:r>
          </w:p>
        </w:tc>
      </w:tr>
      <w:tr>
        <w:trPr>
          <w:cantSplit w:val="true"/>
        </w:trPr>
        <w:tc>
          <w:tcPr>
            <w:tcW w:type="dxa" w:w="120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3</w:t>
            </w:r>
          </w:p>
        </w:tc>
        <w:tc>
          <w:tcPr>
            <w:tcW w:type="dxa" w:w="263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 – bounded agent graph</w:t>
            </w:r>
          </w:p>
        </w:tc>
        <w:tc>
          <w:tcPr>
            <w:tcW w:type="dxa" w:w="27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LangGraph states: validate → authorize → retrieve → grade → generate/abstain; add one read tool and one mocked write tool; budgets, timeouts, retry cap, idempotency key, approval interrupt; prompt-injection tests.</w:t>
            </w:r>
          </w:p>
        </w:tc>
        <w:tc>
          <w:tcPr>
            <w:tcW w:type="dxa" w:w="27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Graph has explicit terminal states; write tool cannot execute without approval; unauthorized metadata is never returned; max steps/tokens/time are enforced.</w:t>
            </w:r>
          </w:p>
        </w:tc>
      </w:tr>
      <w:tr>
        <w:trPr>
          <w:cantSplit w:val="true"/>
        </w:trPr>
        <w:tc>
          <w:tcPr>
            <w:tcW w:type="dxa" w:w="120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4</w:t>
            </w:r>
          </w:p>
        </w:tc>
        <w:tc>
          <w:tcPr>
            <w:tcW w:type="dxa" w:w="263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 – AWS IaC and secure CI</w:t>
            </w:r>
          </w:p>
        </w:tc>
        <w:tc>
          <w:tcPr>
            <w:tcW w:type="dxa" w:w="27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Terraform bootstrap and modules for KMS, S3, Secret metadata, IAM role, OpenSearch, ECR, network inputs; GitHub OIDC role; Checkov/tflint/OPA; pre-commit secrets; Dockerfile; Trivy, Syft, Grype.</w:t>
            </w:r>
          </w:p>
        </w:tc>
        <w:tc>
          <w:tcPr>
            <w:tcW w:type="dxa" w:w="27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DejaVu Sans Mono" w:hAnsi="DejaVu Sans Mono" w:eastAsia="DejaVu Sans Mono" w:cs="DejaVu Sans Mono"/>
                <w:color w:val="1F4D78"/>
                <w:sz w:val="16"/>
                <w:shd w:fill="F2F4F7"/>
              </w:rPr>
              <w:t>terraform fmt/validate/plan</w:t>
            </w:r>
            <w:r>
              <w:rPr>
                <w:rFonts w:ascii="Calibri" w:hAnsi="Calibri" w:eastAsia="Calibri" w:cs="Calibri"/>
                <w:b w:val="0"/>
                <w:i w:val="0"/>
                <w:color w:val="0B2545"/>
                <w:sz w:val="17"/>
              </w:rPr>
              <w:t xml:space="preserve"> succeeds in sandbox; no secret value in state; CI blocks public/unencrypted S3; SBOM is produced; critical image findings fail the build.</w:t>
            </w:r>
          </w:p>
        </w:tc>
      </w:tr>
      <w:tr>
        <w:trPr>
          <w:cantSplit w:val="true"/>
        </w:trPr>
        <w:tc>
          <w:tcPr>
            <w:tcW w:type="dxa" w:w="120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5</w:t>
            </w:r>
          </w:p>
        </w:tc>
        <w:tc>
          <w:tcPr>
            <w:tcW w:type="dxa" w:w="2639"/>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 – observability + SRE</w:t>
            </w:r>
          </w:p>
        </w:tc>
        <w:tc>
          <w:tcPr>
            <w:tcW w:type="dxa" w:w="27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OTel instrumentation/collector; Prometheus/Grafana/Jaeger locally; CloudWatch/X-Ray export path; SLIs/SLOs, alerts, dashboards, inference-latency runbook; load and failure tests.</w:t>
            </w:r>
          </w:p>
        </w:tc>
        <w:tc>
          <w:tcPr>
            <w:tcW w:type="dxa" w:w="27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One trace links API → retrieval → LLM; dashboard separates retrieval and generation latency; alerts fire in a controlled test; runbook mitigation restores SLO.</w:t>
            </w:r>
          </w:p>
        </w:tc>
      </w:tr>
      <w:tr>
        <w:trPr>
          <w:cantSplit w:val="true"/>
        </w:trPr>
        <w:tc>
          <w:tcPr>
            <w:tcW w:type="dxa" w:w="120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6</w:t>
            </w:r>
          </w:p>
        </w:tc>
        <w:tc>
          <w:tcPr>
            <w:tcW w:type="dxa" w:w="2639"/>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i w:val="0"/>
                <w:color w:val="0B2545"/>
                <w:sz w:val="17"/>
              </w:rPr>
              <w:t>MUST/SHOULD – sandbox deployment + review</w:t>
            </w:r>
          </w:p>
        </w:tc>
        <w:tc>
          <w:tcPr>
            <w:tcW w:type="dxa" w:w="27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Push to ECR; deploy API to EKS or use an existing sandbox cluster; workload identity, NetworkPolicy, HPA, PDB, readiness; run end-to-end eval and security checklist; architecture decision records.</w:t>
            </w:r>
          </w:p>
        </w:tc>
        <w:tc>
          <w:tcPr>
            <w:tcW w:type="dxa" w:w="27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Local acceptance commands all pass; sandbox query works; pod has no static AWS key; rollback tested; evaluation did not regress; demo and 10-minute architecture explanation completed.</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2"/>
      </w:pPr>
      <w:r>
        <w:t>Weeks 7–12 hardening/stretch backlog</w:t>
      </w:r>
    </w:p>
    <w:tbl>
      <w:tblPr>
        <w:tblW w:type="dxa" w:w="9360"/>
        <w:tblLayout w:type="fixed"/>
        <w:tblLook w:firstColumn="1" w:firstRow="1" w:lastColumn="0" w:lastRow="0" w:noHBand="0" w:noVBand="1" w:val="04A0"/>
        <w:jc w:val="left"/>
        <w:tblInd w:w="120" w:type="dxa"/>
      </w:tblPr>
      <w:tblGrid>
        <w:gridCol w:w="1412"/>
        <w:gridCol w:w="3973"/>
        <w:gridCol w:w="3975"/>
      </w:tblGrid>
      <w:tr>
        <w:trPr>
          <w:tblHeader w:val="true"/>
          <w:cantSplit w:val="true"/>
        </w:trPr>
        <w:tc>
          <w:tcPr>
            <w:tcW w:type="dxa" w:w="141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Weeks</w:t>
            </w:r>
          </w:p>
        </w:tc>
        <w:tc>
          <w:tcPr>
            <w:tcW w:type="dxa" w:w="397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Scope</w:t>
            </w:r>
          </w:p>
        </w:tc>
        <w:tc>
          <w:tcPr>
            <w:tcW w:type="dxa" w:w="397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Exit criterion</w:t>
            </w:r>
          </w:p>
        </w:tc>
      </w:tr>
      <w:tr>
        <w:trPr>
          <w:cantSplit w:val="true"/>
        </w:trPr>
        <w:tc>
          <w:tcPr>
            <w:tcW w:type="dxa" w:w="141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7–8</w:t>
            </w:r>
          </w:p>
        </w:tc>
        <w:tc>
          <w:tcPr>
            <w:tcW w:type="dxa" w:w="397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Glue/Spark ingestion, Great Expectations, EventBridge + Step Functions, Macie, deletion/re-index workflow</w:t>
            </w:r>
          </w:p>
        </w:tc>
        <w:tc>
          <w:tcPr>
            <w:tcW w:type="dxa" w:w="397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Repeatable incremental ingestion with lineage, quarantine, deletion, and replay.</w:t>
            </w:r>
          </w:p>
        </w:tc>
      </w:tr>
      <w:tr>
        <w:trPr>
          <w:cantSplit w:val="true"/>
        </w:trPr>
        <w:tc>
          <w:tcPr>
            <w:tcW w:type="dxa" w:w="141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9–10</w:t>
            </w:r>
          </w:p>
        </w:tc>
        <w:tc>
          <w:tcPr>
            <w:tcW w:type="dxa" w:w="3973"/>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PyTorch Lightning + Transformers + PEFT/LoRA lab; SageMaker training, Registry, endpoint autoscaling</w:t>
            </w:r>
          </w:p>
        </w:tc>
        <w:tc>
          <w:tcPr>
            <w:tcW w:type="dxa" w:w="397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Fine-tuned candidate beats RAG/prompt baseline on a versioned test set enough to justify added cost.</w:t>
            </w:r>
          </w:p>
        </w:tc>
      </w:tr>
      <w:tr>
        <w:trPr>
          <w:cantSplit w:val="true"/>
        </w:trPr>
        <w:tc>
          <w:tcPr>
            <w:tcW w:type="dxa" w:w="1412"/>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11</w:t>
            </w:r>
          </w:p>
        </w:tc>
        <w:tc>
          <w:tcPr>
            <w:tcW w:type="dxa" w:w="397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Qdrant ↔ OpenSearch parity, hybrid retrieval/reranking, load/cost tests; optional Milvus/Weaviate/Pinecone spike</w:t>
            </w:r>
          </w:p>
        </w:tc>
        <w:tc>
          <w:tcPr>
            <w:tcW w:type="dxa" w:w="397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Backend contract tests and a documented cost/quality/operability decision.</w:t>
            </w:r>
          </w:p>
        </w:tc>
      </w:tr>
      <w:tr>
        <w:trPr>
          <w:cantSplit w:val="true"/>
        </w:trPr>
        <w:tc>
          <w:tcPr>
            <w:tcW w:type="dxa" w:w="1412"/>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12</w:t>
            </w:r>
          </w:p>
        </w:tc>
        <w:tc>
          <w:tcPr>
            <w:tcW w:type="dxa" w:w="3973"/>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FIS in pre-production, DR/backup restore, threat model, multi-tenant authorization, operational readiness review</w:t>
            </w:r>
          </w:p>
        </w:tc>
        <w:tc>
          <w:tcPr>
            <w:tcW w:type="dxa" w:w="397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RTO/RPO tested, error-budget policy approved, high-risk agent tools disabled or approval-gated.</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Repo Skeleton + Example Codex Prompts</w:t>
      </w:r>
    </w:p>
    <w:p>
      <w:pPr>
        <w:pStyle w:val="Heading2"/>
      </w:pPr>
      <w:r>
        <w:t>Recommended monorepo</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enterprise-ai-platform/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README.md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requirements.txt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requirements-dev.txt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pyproject.toml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.env.example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.pre-commit-config.yaml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docker-compose.yml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Dockerfile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data/sample/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configs/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prompts/rag_answer.yaml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eval/golden.jsonl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src/enterprise_ai/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api/main.py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core/config.py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core/models.py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embeddings/base.py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embeddings/sentence_transformer.py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llms/base.py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llms/bedrock.py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retrieval/base.py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retrieval/qdrant.py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retrieval/opensearch.py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ingestion/pipeline.py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rag/pipeline.py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agents/graph.py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guardrails/policy.py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evaluation/run.py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training/train_lora.py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observability/telemetry.py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tests/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unit/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integration/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contract/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conftest.py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infra/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bootstrap/</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environments/sandbox/</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modules/{kms,s3,iam,opensearch,ecr,eks_app}/</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ansible/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deploy/k8s/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policies/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opa/terraform.rego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opa/terraform_test.rego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checkov/s3_kms.yaml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gatekeeper/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observability/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otel-collector.yaml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prometheus.yml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alerts.yml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 grafana/rag-overview.json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runbooks/inference-latency.md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docs/adr/</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.github/workflows/{ci.yml,terraform-plan.yml,deploy.yml}</w:t>
      </w:r>
    </w:p>
    <w:p>
      <w:pPr>
        <w:spacing w:before="0" w:after="20" w:line="240" w:lineRule="auto"/>
      </w:pPr>
    </w:p>
    <w:p>
      <w:pPr>
        <w:pStyle w:val="Heading2"/>
      </w:pPr>
      <w:r>
        <w:t>.env.example</w:t>
      </w:r>
    </w:p>
    <w:p>
      <w:pPr>
        <w:spacing w:before="0" w:after="120" w:line="300" w:lineRule="auto"/>
      </w:pPr>
      <w:r>
        <w:rPr>
          <w:rFonts w:ascii="Calibri" w:hAnsi="Calibri" w:eastAsia="Calibri" w:cs="Calibri"/>
          <w:b w:val="0"/>
          <w:i w:val="0"/>
          <w:color w:val="0B2545"/>
          <w:sz w:val="22"/>
        </w:rPr>
        <w:t xml:space="preserve">Never commit </w:t>
      </w:r>
      <w:r>
        <w:rPr>
          <w:rFonts w:ascii="DejaVu Sans Mono" w:hAnsi="DejaVu Sans Mono" w:eastAsia="DejaVu Sans Mono" w:cs="DejaVu Sans Mono"/>
          <w:color w:val="1F4D78"/>
          <w:sz w:val="21"/>
          <w:shd w:fill="F2F4F7"/>
        </w:rPr>
        <w:t>.env</w:t>
      </w:r>
      <w:r>
        <w:rPr>
          <w:rFonts w:ascii="Calibri" w:hAnsi="Calibri" w:eastAsia="Calibri" w:cs="Calibri"/>
          <w:b w:val="0"/>
          <w:i w:val="0"/>
          <w:color w:val="0B2545"/>
          <w:sz w:val="22"/>
        </w:rPr>
        <w:t>; production values come from Secrets Manager through workload identity. Empty fields are intentional.</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DOTENV</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APP_ENV=local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LOG_LEVEL=INFO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AWS_REGION=TODO_AWS_REGION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AWS_PROFILE=TODO_LOCAL_PROFILE_ONLY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LLM_PROVIDER=fake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LLM_MODEL_ID=TODO_APPROVED_BEDROCK_MODEL_ID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EMBEDDING_PROVIDER=sentence_transformers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EMBEDDING_MODEL_ID=sentence-transformers/all-MiniLM-L6-v2</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VECTOR_BACKEND=qdrant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QDRANT_URL=http://localhost:6333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QDRANT_API_KEY=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OPENSEARCH_ENDPOINT=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OPENSEARCH_INDEX=enterprise-ai-chunks-v1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S3_DOCUMENT_BUCKET=TODO_BUCKET_NAME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SECRETS_PREFIX=/TODO_ORG/enterprise-ai/sandbox</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RAG_TOP_K=5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RAG_MIN_SCORE=0.45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RAG_MAX_CONTEXT_CHARS=12000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AGENT_MAX_STEPS=6</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AGENT_TIMEOUT_SECONDS=30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AGENT_MAX_TOOL_CALLS=3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REQUIRE_TOOL_APPROVAL=true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OTEL_SERVICE_NAME=enterprise-ai-api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OTEL_EXPORTER_OTLP_ENDPOINT=http://localhost:4317</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LANGSMITH_TRACING=false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LANGSMITH_API_KEY=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OPENAI_API_KEY=</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OPENAI_MODEL_ID=TODO_ONLY_IF_APPROVED</w:t>
      </w:r>
    </w:p>
    <w:p>
      <w:pPr>
        <w:spacing w:before="0" w:after="20" w:line="240" w:lineRule="auto"/>
      </w:pPr>
    </w:p>
    <w:p>
      <w:pPr>
        <w:pStyle w:val="Heading2"/>
      </w:pPr>
      <w:r>
        <w:t>Codex prompt contract</w:t>
      </w:r>
    </w:p>
    <w:p>
      <w:pPr>
        <w:spacing w:before="0" w:after="120" w:line="300" w:lineRule="auto"/>
      </w:pPr>
      <w:r>
        <w:rPr>
          <w:rFonts w:ascii="Calibri" w:hAnsi="Calibri" w:eastAsia="Calibri" w:cs="Calibri"/>
          <w:b w:val="0"/>
          <w:i w:val="0"/>
          <w:color w:val="0B2545"/>
          <w:sz w:val="22"/>
        </w:rPr>
        <w:t xml:space="preserve">For every prompt below, tell Codex to inspect existing files first, preserve user changes, use small commits/patches, avoid real credentials, and finish by running relevant tests. Do not ask Codex to deploy or </w:t>
      </w:r>
      <w:r>
        <w:rPr>
          <w:rFonts w:ascii="DejaVu Sans Mono" w:hAnsi="DejaVu Sans Mono" w:eastAsia="DejaVu Sans Mono" w:cs="DejaVu Sans Mono"/>
          <w:color w:val="1F4D78"/>
          <w:sz w:val="21"/>
          <w:shd w:fill="F2F4F7"/>
        </w:rPr>
        <w:t>terraform apply</w:t>
      </w:r>
      <w:r>
        <w:rPr>
          <w:rFonts w:ascii="Calibri" w:hAnsi="Calibri" w:eastAsia="Calibri" w:cs="Calibri"/>
          <w:b w:val="0"/>
          <w:i w:val="0"/>
          <w:color w:val="0B2545"/>
          <w:sz w:val="22"/>
        </w:rPr>
        <w:t xml:space="preserve"> until you have reviewed the plan and cost.</w:t>
      </w:r>
    </w:p>
    <w:p>
      <w:pPr>
        <w:pStyle w:val="Heading3"/>
      </w:pPr>
      <w:r>
        <w:t>Prompt 1 — dependency and configuration foundation</w:t>
      </w:r>
    </w:p>
    <w:p>
      <w:pPr>
        <w:spacing w:before="0" w:after="80" w:line="300" w:lineRule="auto"/>
        <w:numPr>
          <w:ilvl w:val="0"/>
          <w:numId w:val="13"/>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Make installation reproducible and validate configuration early.</w:t>
      </w:r>
    </w:p>
    <w:p>
      <w:pPr>
        <w:spacing w:before="0" w:after="80" w:line="300" w:lineRule="auto"/>
        <w:numPr>
          <w:ilvl w:val="0"/>
          <w:numId w:val="13"/>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requirements*.txt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pyproject.toml</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.env.example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core/config.py</w:t>
      </w:r>
      <w:r>
        <w:rPr>
          <w:rFonts w:ascii="Calibri" w:hAnsi="Calibri" w:eastAsia="Calibri" w:cs="Calibri"/>
          <w:b w:val="0"/>
          <w:i w:val="0"/>
          <w:color w:val="0B2545"/>
          <w:sz w:val="22"/>
        </w:rPr>
        <w:t>, basic tests.</w:t>
      </w:r>
    </w:p>
    <w:p>
      <w:pPr>
        <w:spacing w:before="0" w:after="80" w:line="300" w:lineRule="auto"/>
        <w:numPr>
          <w:ilvl w:val="0"/>
          <w:numId w:val="13"/>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Python 3.11; no cloud credentials.</w:t>
      </w:r>
    </w:p>
    <w:p>
      <w:pPr>
        <w:spacing w:before="0" w:after="80" w:line="300" w:lineRule="auto"/>
        <w:numPr>
          <w:ilvl w:val="0"/>
          <w:numId w:val="13"/>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pip install -r requirements.txt &amp;&amp; pytest tests/unit/test_config.py</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Act as a senior Python platform engineer. In this repository, create a Python 3.11 starter foundation for an enterprise RAG service. Use pydantic-settings for typed environment configuration, fail fast on invalid values, and never include a secret value or unsafe default. Create runtime and development requirements with compatible version ranges, a pyproject configuration for ruff/mypy/pytest, .env.example with TODO placeholders, and unit tests. Include FastAPI, Uvicorn, boto3, sentence-transformers, qdrant-client, opensearch-py, LangChain, LangGraph, OpenTelemetry, pytest, moto, testcontainers, Ragas, DeepEval, Presidio, and security tooling only in the appropriate runtime/dev file. Avoid GPU-only packages in the default MVP install. Run the config unit tests and report exact results.</w:t>
      </w:r>
    </w:p>
    <w:p>
      <w:pPr>
        <w:spacing w:before="0" w:after="20" w:line="240" w:lineRule="auto"/>
      </w:pPr>
    </w:p>
    <w:p>
      <w:pPr>
        <w:pStyle w:val="Heading3"/>
      </w:pPr>
      <w:r>
        <w:t>Prompt 2 — domain models and pluggable vector adapters</w:t>
      </w:r>
    </w:p>
    <w:p>
      <w:pPr>
        <w:spacing w:before="0" w:after="80" w:line="300" w:lineRule="auto"/>
        <w:numPr>
          <w:ilvl w:val="0"/>
          <w:numId w:val="14"/>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Prevent vendor SDK types from leaking into RAG logic.</w:t>
      </w:r>
    </w:p>
    <w:p>
      <w:pPr>
        <w:spacing w:before="0" w:after="80" w:line="300" w:lineRule="auto"/>
        <w:numPr>
          <w:ilvl w:val="0"/>
          <w:numId w:val="14"/>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domain models, </w:t>
      </w:r>
      <w:r>
        <w:rPr>
          <w:rFonts w:ascii="DejaVu Sans Mono" w:hAnsi="DejaVu Sans Mono" w:eastAsia="DejaVu Sans Mono" w:cs="DejaVu Sans Mono"/>
          <w:color w:val="1F4D78"/>
          <w:sz w:val="21"/>
          <w:shd w:fill="F2F4F7"/>
        </w:rPr>
        <w:t>VectorStore</w:t>
      </w:r>
      <w:r>
        <w:rPr>
          <w:rFonts w:ascii="Calibri" w:hAnsi="Calibri" w:eastAsia="Calibri" w:cs="Calibri"/>
          <w:b w:val="0"/>
          <w:i w:val="0"/>
          <w:color w:val="0B2545"/>
          <w:sz w:val="22"/>
        </w:rPr>
        <w:t xml:space="preserve"> protocol, Qdrant/OpenSearch adapters, fake adapter, contract tests.</w:t>
      </w:r>
    </w:p>
    <w:p>
      <w:pPr>
        <w:spacing w:before="0" w:after="80" w:line="300" w:lineRule="auto"/>
        <w:numPr>
          <w:ilvl w:val="0"/>
          <w:numId w:val="14"/>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QDRANT_URL</w:t>
      </w:r>
      <w:r>
        <w:rPr>
          <w:rFonts w:ascii="Calibri" w:hAnsi="Calibri" w:eastAsia="Calibri" w:cs="Calibri"/>
          <w:b w:val="0"/>
          <w:i w:val="0"/>
          <w:color w:val="0B2545"/>
          <w:sz w:val="22"/>
        </w:rPr>
        <w:t>; OpenSearch endpoint/AWS auth only for marked integration tests.</w:t>
      </w:r>
    </w:p>
    <w:p>
      <w:pPr>
        <w:spacing w:before="0" w:after="80" w:line="300" w:lineRule="auto"/>
        <w:numPr>
          <w:ilvl w:val="0"/>
          <w:numId w:val="14"/>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pytest tests/unit tests/contract -q</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Implement typed domain models for Document, Chunk, RetrievedChunk, Citation, Query, and Answer. Define an async VectorStore Protocol with create_or_validate_collection, upsert_chunks, search, delete_by_document_id, and healthcheck. Implement QdrantVectorStore and OpenSearchVectorStore adapters plus an in-memory fake. Use stable deterministic chunk IDs, tenant/security metadata filters, idempotent upserts, timeouts, and normalized errors. Do not let Qdrant or OpenSearch SDK objects escape the adapters. Add backend-independent contract tests; run the fake tests always and mark Docker/AWS tests as integration. Add TODOs only for index settings and organization-specific auth.</w:t>
      </w:r>
    </w:p>
    <w:p>
      <w:pPr>
        <w:spacing w:before="0" w:after="20" w:line="240" w:lineRule="auto"/>
      </w:pPr>
    </w:p>
    <w:p>
      <w:pPr>
        <w:pStyle w:val="Heading3"/>
      </w:pPr>
      <w:r>
        <w:t>Prompt 3 — embedder</w:t>
      </w:r>
    </w:p>
    <w:p>
      <w:pPr>
        <w:spacing w:before="0" w:after="80" w:line="300" w:lineRule="auto"/>
        <w:numPr>
          <w:ilvl w:val="0"/>
          <w:numId w:val="15"/>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Support local and provider embeddings through one contract.</w:t>
      </w:r>
    </w:p>
    <w:p>
      <w:pPr>
        <w:spacing w:before="0" w:after="80" w:line="300" w:lineRule="auto"/>
        <w:numPr>
          <w:ilvl w:val="0"/>
          <w:numId w:val="15"/>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embedder protocol, sentence-transformer adapter, fake adapter, batch/caching tests.</w:t>
      </w:r>
    </w:p>
    <w:p>
      <w:pPr>
        <w:spacing w:before="0" w:after="80" w:line="300" w:lineRule="auto"/>
        <w:numPr>
          <w:ilvl w:val="0"/>
          <w:numId w:val="15"/>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EMBEDDING_MODEL_ID</w:t>
      </w:r>
      <w:r>
        <w:rPr>
          <w:rFonts w:ascii="Calibri" w:hAnsi="Calibri" w:eastAsia="Calibri" w:cs="Calibri"/>
          <w:b w:val="0"/>
          <w:i w:val="0"/>
          <w:color w:val="0B2545"/>
          <w:sz w:val="22"/>
        </w:rPr>
        <w:t>; optional approved provider credentials later.</w:t>
      </w:r>
    </w:p>
    <w:p>
      <w:pPr>
        <w:spacing w:before="0" w:after="80" w:line="300" w:lineRule="auto"/>
        <w:numPr>
          <w:ilvl w:val="0"/>
          <w:numId w:val="15"/>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python -m enterprise_ai.ingestion.pipeline --source data/sample</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an async Embedder Protocol exposing model_id, dimension, embed_documents, and embed_query. Implement a CPU-safe SentenceTransformerEmbedder with batching, normalized vectors, input length validation, deterministic fake embeddings for unit tests, and metrics for item count and duration. The collection must reject an embedding dimension/model mismatch. Do not download a model during unit tests. Add unit tests for batching, empty input, normalization, and dimension mismatch.</w:t>
      </w:r>
    </w:p>
    <w:p>
      <w:pPr>
        <w:spacing w:before="0" w:after="20" w:line="240" w:lineRule="auto"/>
      </w:pPr>
    </w:p>
    <w:p>
      <w:pPr>
        <w:pStyle w:val="Heading3"/>
      </w:pPr>
      <w:r>
        <w:t>Prompt 4 — secure ingestion pipeline</w:t>
      </w:r>
    </w:p>
    <w:p>
      <w:pPr>
        <w:spacing w:before="0" w:after="80" w:line="300" w:lineRule="auto"/>
        <w:numPr>
          <w:ilvl w:val="0"/>
          <w:numId w:val="16"/>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Turn approved documents into versioned, authorized chunks.</w:t>
      </w:r>
    </w:p>
    <w:p>
      <w:pPr>
        <w:spacing w:before="0" w:after="80" w:line="300" w:lineRule="auto"/>
        <w:numPr>
          <w:ilvl w:val="0"/>
          <w:numId w:val="16"/>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loaders, normalization/chunking, Presidio hook, idempotent CLI, manifest and tests.</w:t>
      </w:r>
    </w:p>
    <w:p>
      <w:pPr>
        <w:spacing w:before="0" w:after="80" w:line="300" w:lineRule="auto"/>
        <w:numPr>
          <w:ilvl w:val="0"/>
          <w:numId w:val="16"/>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local sample path; later S3 bucket and IAM role.</w:t>
      </w:r>
    </w:p>
    <w:p>
      <w:pPr>
        <w:spacing w:before="0" w:after="80" w:line="300" w:lineRule="auto"/>
        <w:numPr>
          <w:ilvl w:val="0"/>
          <w:numId w:val="16"/>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python -m enterprise_ai.ingestion.pipeline ingest --source data/sample --tenant demo</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Build an ingestion pipeline for .txt, .md, and small text PDFs. Validate MIME/type and size, calculate content SHA-256, normalize text, detect/redact configured PII with a replaceable Presidio adapter, chunk by tokens with configurable overlap, attach source/document/version/tenant/classification metadata, embed in batches, and idempotently upsert through VectorStore. Emit a manifest with counts, rejected items, hashes, model/version, and timing but no raw PII. Add retry with jitter for transient calls, a quarantine result for bad files, deletion by document version, CLI commands, and unit tests. Never grant the model access to the ingestion role.</w:t>
      </w:r>
    </w:p>
    <w:p>
      <w:pPr>
        <w:spacing w:before="0" w:after="20" w:line="240" w:lineRule="auto"/>
      </w:pPr>
    </w:p>
    <w:p>
      <w:pPr>
        <w:pStyle w:val="Heading3"/>
      </w:pPr>
      <w:r>
        <w:t>Prompt 5 — LLM provider adapters and cited RAG pipeline</w:t>
      </w:r>
    </w:p>
    <w:p>
      <w:pPr>
        <w:spacing w:before="0" w:after="80" w:line="300" w:lineRule="auto"/>
        <w:numPr>
          <w:ilvl w:val="0"/>
          <w:numId w:val="17"/>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Generate evidence-bound answers and retain provider portability.</w:t>
      </w:r>
    </w:p>
    <w:p>
      <w:pPr>
        <w:spacing w:before="0" w:after="80" w:line="300" w:lineRule="auto"/>
        <w:numPr>
          <w:ilvl w:val="0"/>
          <w:numId w:val="17"/>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LLM protocol, fake/Bedrock adapters, prompt loader, RAG service, tests.</w:t>
      </w:r>
    </w:p>
    <w:p>
      <w:pPr>
        <w:spacing w:before="0" w:after="80" w:line="300" w:lineRule="auto"/>
        <w:numPr>
          <w:ilvl w:val="0"/>
          <w:numId w:val="17"/>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LLM_PROVIDER</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LLM_MODEL_ID</w:t>
      </w:r>
      <w:r>
        <w:rPr>
          <w:rFonts w:ascii="Calibri" w:hAnsi="Calibri" w:eastAsia="Calibri" w:cs="Calibri"/>
          <w:b w:val="0"/>
          <w:i w:val="0"/>
          <w:color w:val="0B2545"/>
          <w:sz w:val="22"/>
        </w:rPr>
        <w:t>, AWS region/role for Bedrock integration test.</w:t>
      </w:r>
    </w:p>
    <w:p>
      <w:pPr>
        <w:spacing w:before="0" w:after="80" w:line="300" w:lineRule="auto"/>
        <w:numPr>
          <w:ilvl w:val="0"/>
          <w:numId w:val="17"/>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python -m enterprise_ai.rag.pipeline "What is the retention policy?"</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Define an async LLMProvider Protocol using normalized ChatRequest, ToolSpec, Usage, and ChatResponse types. Implement FakeLLMProvider and BedrockLLMProvider using boto3 with model ID from configuration, explicit connect/read timeouts, retry limits, token usage capture when available, and mapped throttling/timeout errors. Implement a cited RAG pipeline: authorize metadata filter, retrieve top-k, reject low evidence, construct a delimited context that explicitly treats documents as untrusted data, generate a structured Answer with citations, and verify every citation refers to supplied context. Abstain when evidence is insufficient. Do not log prompts or document text. Add unit tests for citation validation, abstention, timeout, and prompt injection in retrieved text.</w:t>
      </w:r>
    </w:p>
    <w:p>
      <w:pPr>
        <w:spacing w:before="0" w:after="20" w:line="240" w:lineRule="auto"/>
      </w:pPr>
    </w:p>
    <w:p>
      <w:pPr>
        <w:pStyle w:val="Heading3"/>
      </w:pPr>
      <w:r>
        <w:t>Prompt 6 — LangGraph agent controller</w:t>
      </w:r>
    </w:p>
    <w:p>
      <w:pPr>
        <w:spacing w:before="0" w:after="80" w:line="300" w:lineRule="auto"/>
        <w:numPr>
          <w:ilvl w:val="0"/>
          <w:numId w:val="18"/>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Add controlled agent behavior without uncontrolled autonomy.</w:t>
      </w:r>
    </w:p>
    <w:p>
      <w:pPr>
        <w:spacing w:before="0" w:after="80" w:line="300" w:lineRule="auto"/>
        <w:numPr>
          <w:ilvl w:val="0"/>
          <w:numId w:val="18"/>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typed graph state, nodes/edges, budgets, approval interrupt, mock tools, tests/diagram.</w:t>
      </w:r>
    </w:p>
    <w:p>
      <w:pPr>
        <w:spacing w:before="0" w:after="80" w:line="300" w:lineRule="auto"/>
        <w:numPr>
          <w:ilvl w:val="0"/>
          <w:numId w:val="18"/>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max step/tool/time budgets; approval store choice.</w:t>
      </w:r>
    </w:p>
    <w:p>
      <w:pPr>
        <w:spacing w:before="0" w:after="80" w:line="300" w:lineRule="auto"/>
        <w:numPr>
          <w:ilvl w:val="0"/>
          <w:numId w:val="18"/>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pytest tests/unit/test_agent_graph.py -q</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a LangGraph StateGraph with typed state and explicit nodes: validate_input, authorize, retrieve, grade_evidence, answer, propose_tool, await_human_approval, execute_tool, and safe_terminal. Make routing deterministic except evidence grading/answer generation. Enforce max steps, max tool calls, timeout/deadline, per-tool allowlist, JSON-schema arguments, idempotency key, and read-only default. Include one read-only status tool and one mocked write tool; the write tool must be impossible to execute without a durable approval decision. Persist only redacted state. Add tests for denial, timeout, repeated tool call, malformed args, prompt injection, approval rejection, and successful approved execution. Generate a small Mermaid state diagram in docs.</w:t>
      </w:r>
    </w:p>
    <w:p>
      <w:pPr>
        <w:spacing w:before="0" w:after="20" w:line="240" w:lineRule="auto"/>
      </w:pPr>
    </w:p>
    <w:p>
      <w:pPr>
        <w:pStyle w:val="Heading3"/>
      </w:pPr>
      <w:r>
        <w:t>Prompt 7 — FastAPI service</w:t>
      </w:r>
    </w:p>
    <w:p>
      <w:pPr>
        <w:spacing w:before="0" w:after="80" w:line="300" w:lineRule="auto"/>
        <w:numPr>
          <w:ilvl w:val="0"/>
          <w:numId w:val="19"/>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Provide a production-shaped API boundary.</w:t>
      </w:r>
    </w:p>
    <w:p>
      <w:pPr>
        <w:spacing w:before="0" w:after="80" w:line="300" w:lineRule="auto"/>
        <w:numPr>
          <w:ilvl w:val="0"/>
          <w:numId w:val="19"/>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endpoints, schemas, dependencies, error mapping, health, tests.</w:t>
      </w:r>
    </w:p>
    <w:p>
      <w:pPr>
        <w:spacing w:before="0" w:after="80" w:line="300" w:lineRule="auto"/>
        <w:numPr>
          <w:ilvl w:val="0"/>
          <w:numId w:val="19"/>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config only; fake providers by default.</w:t>
      </w:r>
    </w:p>
    <w:p>
      <w:pPr>
        <w:spacing w:before="0" w:after="80" w:line="300" w:lineRule="auto"/>
        <w:numPr>
          <w:ilvl w:val="0"/>
          <w:numId w:val="19"/>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uvicorn enterprise_ai.api.main:app --reload</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Build a FastAPI app with /health/live, /health/ready, /v1/query, and /v1/agent endpoints. Use Pydantic schemas, correlation IDs, request size limits, authentication/authorization dependency interfaces, deadlines, concurrency limiting, and normalized error responses. Readiness must check dependencies with short timeouts. Return citations, model/retriever versions, and a request ID, but never internal prompts, chain-of-thought, secrets, or raw exception text. Add JSON structured logging with redaction and OpenTelemetry spans. Unit-test with dependency overrides and fake providers.</w:t>
      </w:r>
    </w:p>
    <w:p>
      <w:pPr>
        <w:spacing w:before="0" w:after="20" w:line="240" w:lineRule="auto"/>
      </w:pPr>
    </w:p>
    <w:p>
      <w:pPr>
        <w:pStyle w:val="Heading3"/>
      </w:pPr>
      <w:r>
        <w:t>Prompt 8 — evaluation harness</w:t>
      </w:r>
    </w:p>
    <w:p>
      <w:pPr>
        <w:spacing w:before="0" w:after="80" w:line="300" w:lineRule="auto"/>
        <w:numPr>
          <w:ilvl w:val="0"/>
          <w:numId w:val="20"/>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Replace subjective demos with repeatable release gates.</w:t>
      </w:r>
    </w:p>
    <w:p>
      <w:pPr>
        <w:spacing w:before="0" w:after="80" w:line="300" w:lineRule="auto"/>
        <w:numPr>
          <w:ilvl w:val="0"/>
          <w:numId w:val="20"/>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JSONL schema, Ragas/custom metrics runner, report, regression thresholds, tests.</w:t>
      </w:r>
    </w:p>
    <w:p>
      <w:pPr>
        <w:spacing w:before="0" w:after="80" w:line="300" w:lineRule="auto"/>
        <w:numPr>
          <w:ilvl w:val="0"/>
          <w:numId w:val="20"/>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configs/eval/golden.jsonl</w:t>
      </w:r>
      <w:r>
        <w:rPr>
          <w:rFonts w:ascii="Calibri" w:hAnsi="Calibri" w:eastAsia="Calibri" w:cs="Calibri"/>
          <w:b w:val="0"/>
          <w:i w:val="0"/>
          <w:color w:val="0B2545"/>
          <w:sz w:val="22"/>
        </w:rPr>
        <w:t>; evaluator provider only if approved.</w:t>
      </w:r>
    </w:p>
    <w:p>
      <w:pPr>
        <w:spacing w:before="0" w:after="80" w:line="300" w:lineRule="auto"/>
        <w:numPr>
          <w:ilvl w:val="0"/>
          <w:numId w:val="20"/>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python -m enterprise_ai.evaluation.run --dataset configs/eval/golden.jsonl --out reports/eval.json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Implement an evaluation harness that reads versioned JSONL cases containing question, expected answer facts, expected source IDs, tenant, and safety tags. Compute deterministic retrieval recall@k/MRR, citation precision, abstention correctness, latency and token/cost fields, then integrate Ragas for faithfulness/answer relevance behind an Evaluator Protocol. Make optional LLM-judge metrics explicitly labeled non-deterministic. Compare results with a checked-in baseline and exit nonzero only on configured material regression. Redact case content in logs and write machine-readable JSON plus a concise Markdown report. Add tests with fake evaluator results.</w:t>
      </w:r>
    </w:p>
    <w:p>
      <w:pPr>
        <w:spacing w:before="0" w:after="20" w:line="240" w:lineRule="auto"/>
      </w:pPr>
    </w:p>
    <w:p>
      <w:pPr>
        <w:pStyle w:val="Heading3"/>
      </w:pPr>
      <w:r>
        <w:t>Prompt 9 — PyTorch Lightning + PEFT/LoRA training lab</w:t>
      </w:r>
    </w:p>
    <w:p>
      <w:pPr>
        <w:spacing w:before="0" w:after="80" w:line="300" w:lineRule="auto"/>
        <w:numPr>
          <w:ilvl w:val="0"/>
          <w:numId w:val="21"/>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Learn model development without making it an MVP dependency.</w:t>
      </w:r>
    </w:p>
    <w:p>
      <w:pPr>
        <w:spacing w:before="0" w:after="80" w:line="300" w:lineRule="auto"/>
        <w:numPr>
          <w:ilvl w:val="0"/>
          <w:numId w:val="21"/>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isolated training script/config, dataset validation, metrics/artifacts/model card, smoke test.</w:t>
      </w:r>
    </w:p>
    <w:p>
      <w:pPr>
        <w:spacing w:before="0" w:after="80" w:line="300" w:lineRule="auto"/>
        <w:numPr>
          <w:ilvl w:val="0"/>
          <w:numId w:val="21"/>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approved Hugging Face model/dataset IDs, license approval, GPU selection; no production data by default.</w:t>
      </w:r>
    </w:p>
    <w:p>
      <w:pPr>
        <w:spacing w:before="0" w:after="80" w:line="300" w:lineRule="auto"/>
        <w:numPr>
          <w:ilvl w:val="0"/>
          <w:numId w:val="21"/>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python -m enterprise_ai.training.train_lora --config configs/training/lora.yaml --fast-dev-run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an OPTIONAL, isolated Python 3.11 training lab using Hugging Face Transformers, PyTorch Lightning, and PEFT/LoRA. Do not add it to the default CPU runtime image. Validate dataset schema/licensing, split train/validation/test deterministically, seed all RNGs, support fast_dev_run on a tiny synthetic dataset, log hyperparameters and metrics, save only adapter weights, and produce a model card with intended use, limitations, data provenance, evaluation, and license. Include hooks suitable for SageMaker training and Model Registry, but no deployment. Add a smoke test that makes no network call.</w:t>
      </w:r>
    </w:p>
    <w:p>
      <w:pPr>
        <w:spacing w:before="0" w:after="20" w:line="240" w:lineRule="auto"/>
      </w:pPr>
    </w:p>
    <w:p>
      <w:pPr>
        <w:pStyle w:val="Heading3"/>
      </w:pPr>
      <w:r>
        <w:t>Prompt 10 — Terraform AWS modules</w:t>
      </w:r>
    </w:p>
    <w:p>
      <w:pPr>
        <w:spacing w:before="0" w:after="80" w:line="300" w:lineRule="auto"/>
        <w:numPr>
          <w:ilvl w:val="0"/>
          <w:numId w:val="22"/>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Produce reviewable sandbox infrastructure without secret material.</w:t>
      </w:r>
    </w:p>
    <w:p>
      <w:pPr>
        <w:spacing w:before="0" w:after="80" w:line="300" w:lineRule="auto"/>
        <w:numPr>
          <w:ilvl w:val="0"/>
          <w:numId w:val="22"/>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bootstrap + modules for KMS/S3/IAM/OpenSearch/ECR/app identity; examples, validation, outputs.</w:t>
      </w:r>
    </w:p>
    <w:p>
      <w:pPr>
        <w:spacing w:before="0" w:after="80" w:line="300" w:lineRule="auto"/>
        <w:numPr>
          <w:ilvl w:val="0"/>
          <w:numId w:val="22"/>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TODO account, region, VPC/subnets, GitHub org/repo, allowed Bedrock models.</w:t>
      </w:r>
    </w:p>
    <w:p>
      <w:pPr>
        <w:spacing w:before="0" w:after="80" w:line="300" w:lineRule="auto"/>
        <w:numPr>
          <w:ilvl w:val="0"/>
          <w:numId w:val="22"/>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terraform -chdir=infra/environments/sandbox init &amp;&amp; terraform -chdir=infra/environments/sandbox plan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Terraform &gt;=1.5 AWS modules and a sandbox composition for KMS, a versioned private S3 document bucket, Secrets Manager secret metadata only, least-privilege runtime/ingestion IAM roles, ECR, and a private VPC OpenSearch domain with encryption at rest, node-to-node encryption, HTTPS, fine-grained access control, logs, and security groups. Create a separate bootstrap stack for encrypted/versioned S3 state and DynamoDB locking for Terraform 1.5 compatibility; document migration to S3 lockfiles for newer Terraform because DynamoDB locking is deprecated. Never create aws_secretsmanager_secret_version or accept secret values. Use variables with validation, mandatory tags, deletion protection flags, checkov suppressions only with owner/reason/expiry, examples, and terraform tests or validations. Plan only; do not apply.</w:t>
      </w:r>
    </w:p>
    <w:p>
      <w:pPr>
        <w:spacing w:before="0" w:after="20" w:line="240" w:lineRule="auto"/>
      </w:pPr>
    </w:p>
    <w:p>
      <w:pPr>
        <w:pStyle w:val="Heading3"/>
      </w:pPr>
      <w:r>
        <w:t>Prompt 11 — Ansible bootstrap</w:t>
      </w:r>
    </w:p>
    <w:p>
      <w:pPr>
        <w:spacing w:before="0" w:after="80" w:line="300" w:lineRule="auto"/>
        <w:numPr>
          <w:ilvl w:val="0"/>
          <w:numId w:val="23"/>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Limit Ansible to valid VM/bootstrap use cases.</w:t>
      </w:r>
    </w:p>
    <w:p>
      <w:pPr>
        <w:spacing w:before="0" w:after="80" w:line="300" w:lineRule="auto"/>
        <w:numPr>
          <w:ilvl w:val="0"/>
          <w:numId w:val="23"/>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role/playbook for an optional EC2 runner/bastion with tests/lint.</w:t>
      </w:r>
    </w:p>
    <w:p>
      <w:pPr>
        <w:spacing w:before="0" w:after="80" w:line="300" w:lineRule="auto"/>
        <w:numPr>
          <w:ilvl w:val="0"/>
          <w:numId w:val="23"/>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inventory through AWS dynamic inventory/SSM; no SSH private keys in repo.</w:t>
      </w:r>
    </w:p>
    <w:p>
      <w:pPr>
        <w:spacing w:before="0" w:after="80" w:line="300" w:lineRule="auto"/>
        <w:numPr>
          <w:ilvl w:val="0"/>
          <w:numId w:val="23"/>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ansible-lint infra/ansible &amp;&amp; ansible-playbook --check ...</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an OPTIONAL idempotent Ansible role for an SSM-managed EC2 operations runner. Install pinned Docker/CLI/OTel Collector packages, configure a non-root service user, IMDSv2-only assumptions, JSON logs, patching, and CloudWatch agent/OTel service. Obtain secrets at runtime from Secrets Manager using the instance role and no_log; never write them to templates or facts. Include handlers, check-mode support, ansible-lint configuration, and Molecule or syntax tests. Clearly state that EKS app containers remain immutable and are not configured by Ansible.</w:t>
      </w:r>
    </w:p>
    <w:p>
      <w:pPr>
        <w:spacing w:before="0" w:after="20" w:line="240" w:lineRule="auto"/>
      </w:pPr>
    </w:p>
    <w:p>
      <w:pPr>
        <w:pStyle w:val="Heading3"/>
      </w:pPr>
      <w:r>
        <w:t>Prompt 12 — GitHub Actions DevSecOps pipeline</w:t>
      </w:r>
    </w:p>
    <w:p>
      <w:pPr>
        <w:spacing w:before="0" w:after="80" w:line="300" w:lineRule="auto"/>
        <w:numPr>
          <w:ilvl w:val="0"/>
          <w:numId w:val="24"/>
        </w:numPr>
      </w:pPr>
      <w:r>
        <w:rPr>
          <w:rFonts w:ascii="Calibri" w:hAnsi="Calibri" w:eastAsia="Calibri" w:cs="Calibri"/>
          <w:b/>
          <w:i w:val="0"/>
          <w:color w:val="0B2545"/>
          <w:sz w:val="22"/>
        </w:rPr>
        <w:t>Purpose:</w:t>
      </w:r>
      <w:r>
        <w:rPr>
          <w:rFonts w:ascii="Calibri" w:hAnsi="Calibri" w:eastAsia="Calibri" w:cs="Calibri"/>
          <w:b w:val="0"/>
          <w:i w:val="0"/>
          <w:color w:val="0B2545"/>
          <w:sz w:val="22"/>
        </w:rPr>
        <w:t xml:space="preserve"> Enforce quality, IaC, supply-chain, and deployment gates.</w:t>
      </w:r>
    </w:p>
    <w:p>
      <w:pPr>
        <w:spacing w:before="0" w:after="80" w:line="300" w:lineRule="auto"/>
        <w:numPr>
          <w:ilvl w:val="0"/>
          <w:numId w:val="24"/>
        </w:numPr>
      </w:pPr>
      <w:r>
        <w:rPr>
          <w:rFonts w:ascii="Calibri" w:hAnsi="Calibri" w:eastAsia="Calibri" w:cs="Calibri"/>
          <w:b/>
          <w:i w:val="0"/>
          <w:color w:val="0B2545"/>
          <w:sz w:val="22"/>
        </w:rPr>
        <w:t>Expected outputs:</w:t>
      </w:r>
      <w:r>
        <w:rPr>
          <w:rFonts w:ascii="Calibri" w:hAnsi="Calibri" w:eastAsia="Calibri" w:cs="Calibri"/>
          <w:b w:val="0"/>
          <w:i w:val="0"/>
          <w:color w:val="0B2545"/>
          <w:sz w:val="22"/>
        </w:rPr>
        <w:t xml:space="preserve"> CI, Terraform plan, deploy workflows; OIDC; SBOM and scan artifacts.</w:t>
      </w:r>
    </w:p>
    <w:p>
      <w:pPr>
        <w:spacing w:before="0" w:after="80" w:line="300" w:lineRule="auto"/>
        <w:numPr>
          <w:ilvl w:val="0"/>
          <w:numId w:val="24"/>
        </w:numPr>
      </w:pPr>
      <w:r>
        <w:rPr>
          <w:rFonts w:ascii="Calibri" w:hAnsi="Calibri" w:eastAsia="Calibri" w:cs="Calibri"/>
          <w:b/>
          <w:i w:val="0"/>
          <w:color w:val="0B2545"/>
          <w:sz w:val="22"/>
        </w:rPr>
        <w:t>Required inputs:</w:t>
      </w:r>
      <w:r>
        <w:rPr>
          <w:rFonts w:ascii="Calibri" w:hAnsi="Calibri" w:eastAsia="Calibri" w:cs="Calibri"/>
          <w:b w:val="0"/>
          <w:i w:val="0"/>
          <w:color w:val="0B2545"/>
          <w:sz w:val="22"/>
        </w:rPr>
        <w:t xml:space="preserve"> GitHub environment, OIDC role ARN, sandbox account/region as non-secret variables.</w:t>
      </w:r>
    </w:p>
    <w:p>
      <w:pPr>
        <w:spacing w:before="0" w:after="80" w:line="300" w:lineRule="auto"/>
        <w:numPr>
          <w:ilvl w:val="0"/>
          <w:numId w:val="24"/>
        </w:numPr>
      </w:pPr>
      <w:r>
        <w:rPr>
          <w:rFonts w:ascii="Calibri" w:hAnsi="Calibri" w:eastAsia="Calibri" w:cs="Calibri"/>
          <w:b/>
          <w:i w:val="0"/>
          <w:color w:val="0B2545"/>
          <w:sz w:val="22"/>
        </w:rPr>
        <w:t>Example usage:</w:t>
      </w:r>
      <w:r>
        <w:rPr>
          <w:rFonts w:ascii="Calibri" w:hAnsi="Calibri" w:eastAsia="Calibri" w:cs="Calibri"/>
          <w:b w:val="0"/>
          <w:i w:val="0"/>
          <w:color w:val="0B2545"/>
          <w:sz w:val="22"/>
        </w:rPr>
        <w:t xml:space="preserve"> open a PR and inspect required checks; deployment remains environment-approved.</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TEXT</w:t>
      </w:r>
    </w:p>
    <w:p>
      <w:pPr>
        <w:pStyle w:val="CodeBlock"/>
        <w:spacing w:before="0" w:after="0" w:line="240" w:lineRule="auto"/>
        <w:ind w:left="115" w:right="115"/>
        <w:shd w:fill="F6F8FA"/>
        <w:pBdr>
          <w:start w:val="single" w:sz="5" w:space="0" w:color="CBD5E1"/>
          <w:end w:val="single" w:sz="5" w:space="0" w:color="CBD5E1"/>
          <w:top w:val="single" w:sz="5" w:space="0" w:color="CBD5E1"/>
          <w:bottom w:val="single" w:sz="5" w:space="0" w:color="CBD5E1"/>
        </w:pBdr>
      </w:pPr>
      <w:r>
        <w:rPr>
          <w:rFonts w:ascii="DejaVu Sans Mono" w:hAnsi="DejaVu Sans Mono" w:eastAsia="DejaVu Sans Mono" w:cs="DejaVu Sans Mono"/>
          <w:color w:val="0B2545"/>
          <w:sz w:val="14"/>
        </w:rPr>
        <w:t>Create least-privilege GitHub Actions workflows. On PR: checkout with minimal permissions, Python 3.11 dependency caching, ruff/mypy/pytest, secret scan, terraform fmt/validate/tflint, Checkov, Terraform plan JSON evaluated by OPA, Docker build, Trivy filesystem/image scan, Syft SPDX/CycloneDX SBOM, Grype scan, and RAG evaluation smoke test. Use service containers for Qdrant where useful. Upload only redacted reports; never upload Terraform plan artifacts if they may contain sensitive values. For deployment, use GitHub OIDC to assume a narrowly trusted AWS role, immutable image digest, protected environment approval, and rollback. Pin third-party actions to immutable commit SHAs with TODO placeholders and set explicit job timeouts. Do not use AWS access-key secrets and do not run terraform apply automatically.</w:t>
      </w:r>
    </w:p>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Terraform &amp; Security Templates</w:t>
      </w:r>
    </w:p>
    <w:p>
      <w:pPr>
        <w:spacing w:before="0" w:after="120" w:line="300" w:lineRule="auto"/>
      </w:pPr>
      <w:r>
        <w:rPr>
          <w:rFonts w:ascii="Calibri" w:hAnsi="Calibri" w:eastAsia="Calibri" w:cs="Calibri"/>
          <w:b w:val="0"/>
          <w:i w:val="0"/>
          <w:color w:val="0B2545"/>
          <w:sz w:val="22"/>
        </w:rPr>
        <w:t>These are starter fragments, not a complete production module. Codex should expand them with variables, tests, tags, logging, network rules, and organization-specific controls.</w:t>
      </w:r>
    </w:p>
    <w:p>
      <w:pPr>
        <w:pStyle w:val="Heading2"/>
      </w:pPr>
      <w:r>
        <w:t>Remote-state bootstrap</w:t>
      </w:r>
    </w:p>
    <w:p>
      <w:pPr>
        <w:spacing w:before="0" w:after="120" w:line="300" w:lineRule="auto"/>
      </w:pPr>
      <w:r>
        <w:rPr>
          <w:rFonts w:ascii="Calibri" w:hAnsi="Calibri" w:eastAsia="Calibri" w:cs="Calibri"/>
          <w:b w:val="0"/>
          <w:i w:val="0"/>
          <w:color w:val="0B2545"/>
          <w:sz w:val="22"/>
        </w:rPr>
        <w:t>Bootstrap this locally once; the backend cannot create itself. DynamoDB locking is included for Terraform 1.5 compatibility. Current Terraform documentation deprecates DynamoDB locking, so plan a controlled migration to S3 native lockfiles after your organization standardizes a supporting Terraform version.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HCL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resource "aws_kms_key" "tf_state"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description         = "TODO_ORG sandbox Terraform state"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enable_key_rotation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"aws_s3_bucket" "tf_state"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bucket = "TODO_GLOBALLY_UNIQUE_STATE_BUCKET"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"aws_s3_bucket_versioning" "tf_state"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bucket = aws_s3_bucket.tf_state.id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versioning_configuration { status = "Enabled"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"aws_s3_bucket_server_side_encryption_configuration" "tf_state"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bucket = aws_s3_bucket.tf_state.id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rule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apply_server_side_encryption_by_default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sse_algorithm     = "aws:kms"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kms_master_key_id = aws_kms_key.tf_state.arn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"aws_s3_bucket_public_access_block" "tf_state"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bucket                  = aws_s3_bucket.tf_state.id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block_public_acls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block_public_policy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ignore_public_acls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restrict_public_buckets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"aws_dynamodb_table" "tf_lock"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         = "TODO_ORG-enterprise-ai-sandbox-tf-lock"</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billing_mode = "PAY_PER_REQUEST"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hash_key     = "LockID"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attribute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 = "LockID"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type = "S"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point_in_time_recovery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server_side_encryption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HCL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terraform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backend "s3"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bucket         = "TODO_GLOBALLY_UNIQUE_STATE_BUCKET"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key            = "enterprise-ai/sandbox/terraform.tfstate"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region         = "TODO_AWS_REGION"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encrypt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kms_key_id     = "TODO_STATE_KMS_KEY_ARN"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dynamodb_table = "TODO_ORG-enterprise-ai-sandbox-tf-lock"</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pStyle w:val="Heading2"/>
      </w:pPr>
      <w:r>
        <w:t>KMS and secret metadata</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HCL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resource "aws_kms_key" "app"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description             = "Enterprise AI sandbox data key"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enable_key_rotation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deletion_window_in_days = 30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policy                  = data.aws_iam_policy_document.kms.json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resource "aws_secretsmanager_secret" "provider"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                    = "/TODO_ORG/enterprise-ai/sandbox/provider"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kms_key_id              = aws_kms_key.app.arn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recovery_window_in_days = 30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Intentionally no aws_secretsmanager_secret_version.</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Supply values through an approved out-of-band process.</w:t>
      </w:r>
    </w:p>
    <w:p>
      <w:pPr>
        <w:spacing w:before="0" w:after="20" w:line="240" w:lineRule="auto"/>
      </w:pPr>
    </w:p>
    <w:p>
      <w:pPr>
        <w:pStyle w:val="Heading2"/>
      </w:pPr>
      <w:r>
        <w:t>Least-privilege runtime policy shape</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HCL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data "aws_iam_policy_document" "runtime"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statement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sid       = "ReadOnlyApprovedDocuments"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actions   = ["s3:GetObject"]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resources = ["${var.document_bucket_arn}/approved/${var.tenant_id}/*"]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statement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sid       = "InvokeApprovedBedrockModels"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actions   = ["bedrock:InvokeModel", "bedrock:InvokeModelWithResponseStream"]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resources = var.approved_model_arns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statement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sid       = "ReadNamedSecret"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actions   = ["secretsmanager:GetSecretValue"]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resources = [var.provider_secret_arn]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statement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sid       = "DecryptViaNamedServices"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actions   = ["kms:Decrypt"]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resources = [var.app_kms_key_arn]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condition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test     = "StringEquals"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variable = "kms:ViaService"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values   = ["s3.${var.aws_region}.amazonaws.com", "secretsmanager.${var.aws_region}.amazonaws.com"]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spacing w:before="0" w:after="120" w:line="300" w:lineRule="auto"/>
      </w:pPr>
      <w:r>
        <w:rPr>
          <w:rFonts w:ascii="Calibri" w:hAnsi="Calibri" w:eastAsia="Calibri" w:cs="Calibri"/>
          <w:b w:val="0"/>
          <w:i w:val="0"/>
          <w:color w:val="0B2545"/>
          <w:sz w:val="22"/>
        </w:rPr>
        <w:t>Use EKS Pod Identity or IRSA for the pod role. The ingestion role can write vectors and manifests; the query role should not mutate the corpus.</w:t>
      </w:r>
    </w:p>
    <w:p>
      <w:pPr>
        <w:pStyle w:val="Heading2"/>
      </w:pPr>
      <w:r>
        <w:t>Private OpenSearch essentials</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HCL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resource "aws_opensearch_domain" "vectors"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domain_name    = "TODO_ORG-ai-sandbox"</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engine_version = var.opensearch_engine_version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cluster_config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instance_type          = var.instance_type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instance_count         = var.instance_count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zone_awareness_enabled = var.instance_count &gt; 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ebs_options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ebs_enabled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volume_type = "gp3"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volume_size = var.volume_size_gib</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vpc_options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subnet_ids         = var.private_subnet_ids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security_group_ids = [aws_security_group.opensearch.id]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encrypt_at_rest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kms_key_id = var.kms_key_arn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node_to_node_encryption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domain_endpoint_options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enforce_https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tls_security_policy = "Policy-Min-TLS-1-2-2019-07"</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advanced_security_options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internal_user_database_enabled = false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master_user_options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master_user_arn = var.admin_role_arn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log_publishing_options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cloudwatch_log_group_arn = var.application_log_group_arn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log_type                 = "ES_APPLICATION_LOGS"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enabled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spacing w:before="0" w:after="120" w:line="300" w:lineRule="auto"/>
      </w:pPr>
      <w:r>
        <w:rPr>
          <w:rFonts w:ascii="Calibri" w:hAnsi="Calibri" w:eastAsia="Calibri" w:cs="Calibri"/>
          <w:b/>
          <w:i w:val="0"/>
          <w:color w:val="0B2545"/>
          <w:sz w:val="22"/>
        </w:rPr>
        <w:t>TODO:</w:t>
      </w:r>
      <w:r>
        <w:rPr>
          <w:rFonts w:ascii="Calibri" w:hAnsi="Calibri" w:eastAsia="Calibri" w:cs="Calibri"/>
          <w:b w:val="0"/>
          <w:i w:val="0"/>
          <w:color w:val="0B2545"/>
          <w:sz w:val="22"/>
        </w:rPr>
        <w:t xml:space="preserve"> Add domain access policy, audit/search/index slow logs, alarms, service-linked role dependencies, dedicated masters for production, multi-AZ, snapshots/restore test, and an explicit destroy guard. Use security groups for workload-level allowlisting; keep NACLs simple and use them only for coarse stateless subnet controls.</w:t>
      </w:r>
    </w:p>
    <w:p>
      <w:pPr>
        <w:pStyle w:val="Heading2"/>
      </w:pPr>
      <w:r>
        <w:t>OPA/Rego: Terraform plan checks</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REGO</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package terraform.security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import rego.v1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deny contains msg if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some rc in input.resource_changes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rc.type == "aws_s3_bucket_acl"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acl := rc.change.after.acl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acl in {"public-read", "public-read-write", "authenticated-read"}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msg := sprintf("%s uses forbidden S3 ACL %s", [rc.address, acl])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deny contains msg if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some rc in input.resource_changes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rc.type == "aws_s3_bucket_public_access_block"</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after := rc.change.after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not after.block_public_acls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msg := sprintf("%s must block public ACLs", [rc.address])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deny contains msg if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some rc in input.resource_changes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rc.type == "aws_s3_bucket_server_side_encryption_configuration"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some rule in rc.change.after.rule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some default in rule.apply_server_side_encryption_by_default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default.sse_algorithm != "aws:kms"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msg := sprintf("%s must use aws:kms", [rc.address])</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spacing w:before="0" w:after="120" w:line="300" w:lineRule="auto"/>
      </w:pPr>
      <w:r>
        <w:rPr>
          <w:rFonts w:ascii="Calibri" w:hAnsi="Calibri" w:eastAsia="Calibri" w:cs="Calibri"/>
          <w:b w:val="0"/>
          <w:i w:val="0"/>
          <w:color w:val="0B2545"/>
          <w:sz w:val="22"/>
        </w:rPr>
        <w:t>Add Rego unit tests for compliant, public, missing-block, and AES256-only cases. This starter checks resources that exist; add cross-resource coverage or Checkov built-ins to require every bucket to have the corresponding controls.</w:t>
      </w:r>
    </w:p>
    <w:p>
      <w:pPr>
        <w:pStyle w:val="Heading2"/>
      </w:pPr>
      <w:r>
        <w:t>Checkov custom YAML</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metadata: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id: CUSTOM_AWS_001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 S3 encryption configuration must use KMS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category: ENCRYPTION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scope: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provider: aws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definition: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cond_type: attribute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resource_types: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aws_s3_bucket_server_side_encryption_configuration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attribute: rule.*.apply_server_side_encryption_by_default.*.sse_algorithm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operator: contains</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value: aws:kms</w:t>
      </w:r>
    </w:p>
    <w:p>
      <w:pPr>
        <w:spacing w:before="0" w:after="20" w:line="240" w:lineRule="auto"/>
      </w:pPr>
    </w:p>
    <w:p>
      <w:pPr>
        <w:pStyle w:val="Heading2"/>
      </w:pPr>
      <w:r>
        <w:t>Gatekeeper starter: deny privileged containers</w:t>
      </w:r>
    </w:p>
    <w:p>
      <w:pPr>
        <w:spacing w:before="0" w:after="120" w:line="300" w:lineRule="auto"/>
      </w:pPr>
      <w:r>
        <w:rPr>
          <w:rFonts w:ascii="Calibri" w:hAnsi="Calibri" w:eastAsia="Calibri" w:cs="Calibri"/>
          <w:b w:val="0"/>
          <w:i w:val="0"/>
          <w:color w:val="0B2545"/>
          <w:sz w:val="22"/>
        </w:rPr>
        <w:t>Use a tested policy from the Gatekeeper policy library where possible. This compact template shows the enforcement shape; add namespace exclusions only through a reviewed exception process.</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apiVersion: templates.gatekeeper.sh/v1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kind: ConstraintTemplate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metadata: {name: k8sdenyprivileged}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spec: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crd: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spec: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names: {kind: K8sDenyPrivileged}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validation: {openAPIV3Schema: {type: object}}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targets: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target: admission.k8s.gatekeeper.sh</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rego: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package k8sdenyprivileged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violation[{"msg": msg}]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 := input.review.object.spec.containers[_]</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c.securityContext.privileged ==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msg := sprintf("container %q must not be privileged", [c.name])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apiVersion: constraints.gatekeeper.sh/v1beta1</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kind: K8sDenyPrivileged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metadata: {name: deny-privileged}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spec: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match:</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kinds: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apiGroups: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kinds: ["Pod"]</w:t>
      </w:r>
    </w:p>
    <w:p>
      <w:pPr>
        <w:spacing w:before="0" w:after="20" w:line="240" w:lineRule="auto"/>
      </w:pPr>
    </w:p>
    <w:p>
      <w:pPr>
        <w:pStyle w:val="Heading2"/>
      </w:pPr>
      <w:r>
        <w:t>DevSecOps minimum checklist</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pre-commit formatting/linting plus Gitleaks or detect-secrets; protect main and require review.</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terraform fmt -check</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validate</w:t>
      </w:r>
      <w:r>
        <w:rPr>
          <w:rFonts w:ascii="Calibri" w:hAnsi="Calibri" w:eastAsia="Calibri" w:cs="Calibri"/>
          <w:b w:val="0"/>
          <w:i w:val="0"/>
          <w:color w:val="0B2545"/>
          <w:sz w:val="22"/>
        </w:rPr>
        <w:t>, tflint, Checkov, plan JSON → OPA, and Rego tests.</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dependency review/SCA, Trivy filesystem and image, Syft SBOM, Grype validation.</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GitHub OIDC with repository/environment trust conditions; no static AWS keys.</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image digest deployment, non-root/read-only container, dropped capabilities, resource limits, NetworkPolicy, workload identity.</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KMS, private buckets/search, CloudTrail, application/audit logs, log redaction, retention.</w:t>
      </w:r>
    </w:p>
    <w:p>
      <w:pPr>
        <w:spacing w:before="0" w:after="80" w:line="300" w:lineRule="auto"/>
        <w:numPr>
          <w:ilvl w:val="0"/>
          <w:numId w:val="25"/>
        </w:numPr>
      </w:pPr>
      <w:r>
        <w:rPr>
          <w:rFonts w:ascii="Calibri" w:hAnsi="Calibri" w:eastAsia="Calibri" w:cs="Calibri"/>
          <w:b/>
          <w:i w:val="0"/>
          <w:color w:val="0B2545"/>
          <w:sz w:val="22"/>
        </w:rPr>
        <w:t>MUST:</w:t>
      </w:r>
      <w:r>
        <w:rPr>
          <w:rFonts w:ascii="Calibri" w:hAnsi="Calibri" w:eastAsia="Calibri" w:cs="Calibri"/>
          <w:b w:val="0"/>
          <w:i w:val="0"/>
          <w:color w:val="0B2545"/>
          <w:sz w:val="22"/>
        </w:rPr>
        <w:t xml:space="preserve"> prompt-injection, tenant-isolation, excessive-agency, malformed tool arguments, and data-exfiltration tests.</w:t>
      </w:r>
    </w:p>
    <w:p>
      <w:pPr>
        <w:spacing w:before="0" w:after="80" w:line="300" w:lineRule="auto"/>
        <w:numPr>
          <w:ilvl w:val="0"/>
          <w:numId w:val="25"/>
        </w:numPr>
      </w:pPr>
      <w:r>
        <w:rPr>
          <w:rFonts w:ascii="Calibri" w:hAnsi="Calibri" w:eastAsia="Calibri" w:cs="Calibri"/>
          <w:b/>
          <w:i w:val="0"/>
          <w:color w:val="0B2545"/>
          <w:sz w:val="22"/>
        </w:rPr>
        <w:t>SHOULD:</w:t>
      </w:r>
      <w:r>
        <w:rPr>
          <w:rFonts w:ascii="Calibri" w:hAnsi="Calibri" w:eastAsia="Calibri" w:cs="Calibri"/>
          <w:b w:val="0"/>
          <w:i w:val="0"/>
          <w:color w:val="0B2545"/>
          <w:sz w:val="22"/>
        </w:rPr>
        <w:t xml:space="preserve"> sign/attest builds, admission policy with Gatekeeper, base-image allowlist, provenance and license policy.</w:t>
      </w:r>
    </w:p>
    <w:p>
      <w:pPr>
        <w:spacing w:before="0" w:after="80" w:line="300" w:lineRule="auto"/>
        <w:numPr>
          <w:ilvl w:val="0"/>
          <w:numId w:val="25"/>
        </w:numPr>
      </w:pPr>
      <w:r>
        <w:rPr>
          <w:rFonts w:ascii="Calibri" w:hAnsi="Calibri" w:eastAsia="Calibri" w:cs="Calibri"/>
          <w:b/>
          <w:i w:val="0"/>
          <w:color w:val="0B2545"/>
          <w:sz w:val="22"/>
        </w:rPr>
        <w:t>OPTIONAL:</w:t>
      </w:r>
      <w:r>
        <w:rPr>
          <w:rFonts w:ascii="Calibri" w:hAnsi="Calibri" w:eastAsia="Calibri" w:cs="Calibri"/>
          <w:b w:val="0"/>
          <w:i w:val="0"/>
          <w:color w:val="0B2545"/>
          <w:sz w:val="22"/>
        </w:rPr>
        <w:t xml:space="preserve"> Snyk as a managed developer platform; open-source baseline is Trivy + Syft + Grype. Sentinel is useful when HCP Terraform/Terraform Enterprise is the enforcement plane.</w:t>
      </w:r>
    </w:p>
    <w:p>
      <w:r>
        <w:br w:type="page"/>
      </w:r>
    </w:p>
    <w:p>
      <w:pPr>
        <w:spacing w:before="0" w:after="0" w:line="240" w:lineRule="auto"/>
      </w:pPr>
      <w:r>
        <w:rPr>
          <w:rFonts w:ascii="Calibri" w:hAnsi="Calibri" w:eastAsia="Calibri" w:cs="Calibri"/>
          <w:color w:val="FFFFFF"/>
          <w:sz w:val="96"/>
        </w:rPr>
        <w:t xml:space="preserve"> </w:t>
      </w:r>
    </w:p>
    <w:p>
      <w:pPr>
        <w:pStyle w:val="Heading1"/>
      </w:pPr>
      <w:r>
        <w:t>Observability &amp; SRE</w:t>
      </w:r>
    </w:p>
    <w:p>
      <w:pPr>
        <w:pStyle w:val="Heading2"/>
      </w:pPr>
      <w:r>
        <w:t>OpenTelemetry Collector starter</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receivers: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otlp:</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protocols: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grpc: {endpoint: 0.0.0.0:4317}</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http: {endpoint: 0.0.0.0:4318}</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processors: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memory_limiter: {check_interval: 1s, limit_mib: 256}</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batch: {timeout: 5s, send_batch_size: 512}</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attributes/redact: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actions: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{key: enduser.id, action: delete}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{key: llm.prompt, action: delete}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{key: llm.response, action: delete}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exporters: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debug: {verbosity: basic}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prometheus: {endpoint: 0.0.0.0:9464}</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otlp/jaeger: {endpoint: jaeger:4317, tls: {insecure: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service: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pipelines: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traces: {receivers: [otlp], processors: [memory_limiter, attributes/redact, batch], exporters: [debug, otlp/jaeger]}</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metrics: {receivers: [otlp], processors: [memory_limiter, batch], exporters: [prometheus]}</w:t>
      </w:r>
    </w:p>
    <w:p>
      <w:pPr>
        <w:spacing w:before="0" w:after="20" w:line="240" w:lineRule="auto"/>
      </w:pPr>
    </w:p>
    <w:p>
      <w:pPr>
        <w:spacing w:before="0" w:after="120" w:line="300" w:lineRule="auto"/>
      </w:pPr>
      <w:r>
        <w:rPr>
          <w:rFonts w:ascii="Calibri" w:hAnsi="Calibri" w:eastAsia="Calibri" w:cs="Calibri"/>
          <w:b w:val="0"/>
          <w:i w:val="0"/>
          <w:color w:val="0B2545"/>
          <w:sz w:val="22"/>
        </w:rPr>
        <w:t>For AWS, add an approved exporter path to CloudWatch/X-Ray/ADOT and remove the debug exporter. Do not send content attributes to external vendors.</w:t>
      </w:r>
    </w:p>
    <w:p>
      <w:pPr>
        <w:pStyle w:val="Heading2"/>
      </w:pPr>
      <w:r>
        <w:t>Prometheus scrape starter</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global: {scrape_interval: 15s}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scrape_configs: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job_name: otel-collector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static_configs: [{targets: ["otel-collector:9464"]}]</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job_name: enterprise-ai-api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metrics_path: /metrics</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static_configs: [{targets: ["api:8000"]}]</w:t>
      </w:r>
    </w:p>
    <w:p>
      <w:pPr>
        <w:spacing w:before="0" w:after="20" w:line="240" w:lineRule="auto"/>
      </w:pPr>
    </w:p>
    <w:p>
      <w:pPr>
        <w:pStyle w:val="Heading2"/>
      </w:pPr>
      <w:r>
        <w:t>Key telemetry</w:t>
      </w:r>
    </w:p>
    <w:p>
      <w:pPr>
        <w:spacing w:before="0" w:after="120" w:line="300" w:lineRule="auto"/>
      </w:pPr>
      <w:r>
        <w:rPr>
          <w:rFonts w:ascii="Calibri" w:hAnsi="Calibri" w:eastAsia="Calibri" w:cs="Calibri"/>
          <w:b w:val="0"/>
          <w:i w:val="0"/>
          <w:color w:val="0B2545"/>
          <w:sz w:val="22"/>
        </w:rPr>
        <w:t xml:space="preserve">Use bounded labels only: </w:t>
      </w:r>
      <w:r>
        <w:rPr>
          <w:rFonts w:ascii="DejaVu Sans Mono" w:hAnsi="DejaVu Sans Mono" w:eastAsia="DejaVu Sans Mono" w:cs="DejaVu Sans Mono"/>
          <w:color w:val="1F4D78"/>
          <w:sz w:val="21"/>
          <w:shd w:fill="F2F4F7"/>
        </w:rPr>
        <w:t>environment</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route</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provider</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model_family</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retriever</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outcome</w:t>
      </w:r>
      <w:r>
        <w:rPr>
          <w:rFonts w:ascii="Calibri" w:hAnsi="Calibri" w:eastAsia="Calibri" w:cs="Calibri"/>
          <w:b w:val="0"/>
          <w:i w:val="0"/>
          <w:color w:val="0B2545"/>
          <w:sz w:val="22"/>
        </w:rPr>
        <w:t xml:space="preserve">, and </w:t>
      </w:r>
      <w:r>
        <w:rPr>
          <w:rFonts w:ascii="DejaVu Sans Mono" w:hAnsi="DejaVu Sans Mono" w:eastAsia="DejaVu Sans Mono" w:cs="DejaVu Sans Mono"/>
          <w:color w:val="1F4D78"/>
          <w:sz w:val="21"/>
          <w:shd w:fill="F2F4F7"/>
        </w:rPr>
        <w:t>error_type</w:t>
      </w:r>
      <w:r>
        <w:rPr>
          <w:rFonts w:ascii="Calibri" w:hAnsi="Calibri" w:eastAsia="Calibri" w:cs="Calibri"/>
          <w:b w:val="0"/>
          <w:i w:val="0"/>
          <w:color w:val="0B2545"/>
          <w:sz w:val="22"/>
        </w:rPr>
        <w:t>. Never label with user, prompt, document ID, request ID, or raw model ID if it creates unbounded cardinality.</w:t>
      </w:r>
    </w:p>
    <w:p>
      <w:pPr>
        <w:spacing w:before="0" w:after="80" w:line="300" w:lineRule="auto"/>
        <w:numPr>
          <w:ilvl w:val="0"/>
          <w:numId w:val="26"/>
        </w:numPr>
      </w:pPr>
      <w:r>
        <w:rPr>
          <w:rFonts w:ascii="DejaVu Sans Mono" w:hAnsi="DejaVu Sans Mono" w:eastAsia="DejaVu Sans Mono" w:cs="DejaVu Sans Mono"/>
          <w:color w:val="1F4D78"/>
          <w:sz w:val="21"/>
          <w:shd w:fill="F2F4F7"/>
        </w:rPr>
        <w:t>rag_requests_total{outcome}</w:t>
      </w:r>
    </w:p>
    <w:p>
      <w:pPr>
        <w:spacing w:before="0" w:after="80" w:line="300" w:lineRule="auto"/>
        <w:numPr>
          <w:ilvl w:val="0"/>
          <w:numId w:val="26"/>
        </w:numPr>
      </w:pPr>
      <w:r>
        <w:rPr>
          <w:rFonts w:ascii="DejaVu Sans Mono" w:hAnsi="DejaVu Sans Mono" w:eastAsia="DejaVu Sans Mono" w:cs="DejaVu Sans Mono"/>
          <w:color w:val="1F4D78"/>
          <w:sz w:val="21"/>
          <w:shd w:fill="F2F4F7"/>
        </w:rPr>
        <w:t>rag_request_duration_seconds</w:t>
      </w:r>
      <w:r>
        <w:rPr>
          <w:rFonts w:ascii="Calibri" w:hAnsi="Calibri" w:eastAsia="Calibri" w:cs="Calibri"/>
          <w:b w:val="0"/>
          <w:i w:val="0"/>
          <w:color w:val="0B2545"/>
          <w:sz w:val="22"/>
        </w:rPr>
        <w:t xml:space="preserve"> histogram</w:t>
      </w:r>
    </w:p>
    <w:p>
      <w:pPr>
        <w:spacing w:before="0" w:after="80" w:line="300" w:lineRule="auto"/>
        <w:numPr>
          <w:ilvl w:val="0"/>
          <w:numId w:val="26"/>
        </w:numPr>
      </w:pPr>
      <w:r>
        <w:rPr>
          <w:rFonts w:ascii="DejaVu Sans Mono" w:hAnsi="DejaVu Sans Mono" w:eastAsia="DejaVu Sans Mono" w:cs="DejaVu Sans Mono"/>
          <w:color w:val="1F4D78"/>
          <w:sz w:val="21"/>
          <w:shd w:fill="F2F4F7"/>
        </w:rPr>
        <w:t>rag_retrieval_duration_seconds</w:t>
      </w:r>
      <w:r>
        <w:rPr>
          <w:rFonts w:ascii="Calibri" w:hAnsi="Calibri" w:eastAsia="Calibri" w:cs="Calibri"/>
          <w:b w:val="0"/>
          <w:i w:val="0"/>
          <w:color w:val="0B2545"/>
          <w:sz w:val="22"/>
        </w:rPr>
        <w:t xml:space="preserve"> and </w:t>
      </w:r>
      <w:r>
        <w:rPr>
          <w:rFonts w:ascii="DejaVu Sans Mono" w:hAnsi="DejaVu Sans Mono" w:eastAsia="DejaVu Sans Mono" w:cs="DejaVu Sans Mono"/>
          <w:color w:val="1F4D78"/>
          <w:sz w:val="21"/>
          <w:shd w:fill="F2F4F7"/>
        </w:rPr>
        <w:t>rag_retrieved_chunks</w:t>
      </w:r>
    </w:p>
    <w:p>
      <w:pPr>
        <w:spacing w:before="0" w:after="80" w:line="300" w:lineRule="auto"/>
        <w:numPr>
          <w:ilvl w:val="0"/>
          <w:numId w:val="26"/>
        </w:numPr>
      </w:pPr>
      <w:r>
        <w:rPr>
          <w:rFonts w:ascii="DejaVu Sans Mono" w:hAnsi="DejaVu Sans Mono" w:eastAsia="DejaVu Sans Mono" w:cs="DejaVu Sans Mono"/>
          <w:color w:val="1F4D78"/>
          <w:sz w:val="21"/>
          <w:shd w:fill="F2F4F7"/>
        </w:rPr>
        <w:t>rag_generation_duration_seconds</w:t>
      </w:r>
    </w:p>
    <w:p>
      <w:pPr>
        <w:spacing w:before="0" w:after="80" w:line="300" w:lineRule="auto"/>
        <w:numPr>
          <w:ilvl w:val="0"/>
          <w:numId w:val="26"/>
        </w:numPr>
      </w:pPr>
      <w:r>
        <w:rPr>
          <w:rFonts w:ascii="DejaVu Sans Mono" w:hAnsi="DejaVu Sans Mono" w:eastAsia="DejaVu Sans Mono" w:cs="DejaVu Sans Mono"/>
          <w:color w:val="1F4D78"/>
          <w:sz w:val="21"/>
          <w:shd w:fill="F2F4F7"/>
        </w:rPr>
        <w:t>rag_abstentions_total{reason}</w:t>
      </w:r>
      <w:r>
        <w:rPr>
          <w:rFonts w:ascii="Calibri" w:hAnsi="Calibri" w:eastAsia="Calibri" w:cs="Calibri"/>
          <w:b w:val="0"/>
          <w:i w:val="0"/>
          <w:color w:val="0B2545"/>
          <w:sz w:val="22"/>
        </w:rPr>
        <w:t xml:space="preserve"> and </w:t>
      </w:r>
      <w:r>
        <w:rPr>
          <w:rFonts w:ascii="DejaVu Sans Mono" w:hAnsi="DejaVu Sans Mono" w:eastAsia="DejaVu Sans Mono" w:cs="DejaVu Sans Mono"/>
          <w:color w:val="1F4D78"/>
          <w:sz w:val="21"/>
          <w:shd w:fill="F2F4F7"/>
        </w:rPr>
        <w:t>rag_citation_validation_failures_total</w:t>
      </w:r>
    </w:p>
    <w:p>
      <w:pPr>
        <w:spacing w:before="0" w:after="80" w:line="300" w:lineRule="auto"/>
        <w:numPr>
          <w:ilvl w:val="0"/>
          <w:numId w:val="26"/>
        </w:numPr>
      </w:pPr>
      <w:r>
        <w:rPr>
          <w:rFonts w:ascii="DejaVu Sans Mono" w:hAnsi="DejaVu Sans Mono" w:eastAsia="DejaVu Sans Mono" w:cs="DejaVu Sans Mono"/>
          <w:color w:val="1F4D78"/>
          <w:sz w:val="21"/>
          <w:shd w:fill="F2F4F7"/>
        </w:rPr>
        <w:t>agent_tool_calls_total{tool,outcome}</w:t>
      </w:r>
      <w:r>
        <w:rPr>
          <w:rFonts w:ascii="Calibri" w:hAnsi="Calibri" w:eastAsia="Calibri" w:cs="Calibri"/>
          <w:b w:val="0"/>
          <w:i w:val="0"/>
          <w:color w:val="0B2545"/>
          <w:sz w:val="22"/>
        </w:rPr>
        <w:t xml:space="preserve"> and </w:t>
      </w:r>
      <w:r>
        <w:rPr>
          <w:rFonts w:ascii="DejaVu Sans Mono" w:hAnsi="DejaVu Sans Mono" w:eastAsia="DejaVu Sans Mono" w:cs="DejaVu Sans Mono"/>
          <w:color w:val="1F4D78"/>
          <w:sz w:val="21"/>
          <w:shd w:fill="F2F4F7"/>
        </w:rPr>
        <w:t>agent_approval_wait_seconds</w:t>
      </w:r>
    </w:p>
    <w:p>
      <w:pPr>
        <w:spacing w:before="0" w:after="80" w:line="300" w:lineRule="auto"/>
        <w:numPr>
          <w:ilvl w:val="0"/>
          <w:numId w:val="26"/>
        </w:numPr>
      </w:pPr>
      <w:r>
        <w:rPr>
          <w:rFonts w:ascii="DejaVu Sans Mono" w:hAnsi="DejaVu Sans Mono" w:eastAsia="DejaVu Sans Mono" w:cs="DejaVu Sans Mono"/>
          <w:color w:val="1F4D78"/>
          <w:sz w:val="21"/>
          <w:shd w:fill="F2F4F7"/>
        </w:rPr>
        <w:t>llm_input_tokens_total</w:t>
      </w:r>
      <w:r>
        <w:rPr>
          <w:rFonts w:ascii="Calibri" w:hAnsi="Calibri" w:eastAsia="Calibri" w:cs="Calibri"/>
          <w:b w:val="0"/>
          <w:i w:val="0"/>
          <w:color w:val="0B2545"/>
          <w:sz w:val="22"/>
        </w:rPr>
        <w:t xml:space="preserve">, </w:t>
      </w:r>
      <w:r>
        <w:rPr>
          <w:rFonts w:ascii="DejaVu Sans Mono" w:hAnsi="DejaVu Sans Mono" w:eastAsia="DejaVu Sans Mono" w:cs="DejaVu Sans Mono"/>
          <w:color w:val="1F4D78"/>
          <w:sz w:val="21"/>
          <w:shd w:fill="F2F4F7"/>
        </w:rPr>
        <w:t>llm_output_tokens_total</w:t>
      </w:r>
      <w:r>
        <w:rPr>
          <w:rFonts w:ascii="Calibri" w:hAnsi="Calibri" w:eastAsia="Calibri" w:cs="Calibri"/>
          <w:b w:val="0"/>
          <w:i w:val="0"/>
          <w:color w:val="0B2545"/>
          <w:sz w:val="22"/>
        </w:rPr>
        <w:t>, estimated cost, throttles/timeouts</w:t>
      </w:r>
    </w:p>
    <w:p>
      <w:pPr>
        <w:spacing w:before="0" w:after="80" w:line="300" w:lineRule="auto"/>
        <w:numPr>
          <w:ilvl w:val="0"/>
          <w:numId w:val="26"/>
        </w:numPr>
      </w:pPr>
      <w:r>
        <w:rPr>
          <w:rFonts w:ascii="Calibri" w:hAnsi="Calibri" w:eastAsia="Calibri" w:cs="Calibri"/>
          <w:b w:val="0"/>
          <w:i w:val="0"/>
          <w:color w:val="0B2545"/>
          <w:sz w:val="22"/>
        </w:rPr>
        <w:t>ingestion accepted/rejected/quarantined documents, chunk and embedding counts</w:t>
      </w:r>
    </w:p>
    <w:p>
      <w:pPr>
        <w:spacing w:before="0" w:after="80" w:line="300" w:lineRule="auto"/>
        <w:numPr>
          <w:ilvl w:val="0"/>
          <w:numId w:val="26"/>
        </w:numPr>
      </w:pPr>
      <w:r>
        <w:rPr>
          <w:rFonts w:ascii="Calibri" w:hAnsi="Calibri" w:eastAsia="Calibri" w:cs="Calibri"/>
          <w:b w:val="0"/>
          <w:i w:val="0"/>
          <w:color w:val="0B2545"/>
          <w:sz w:val="22"/>
        </w:rPr>
        <w:t>offline/online sampled faithfulness, answer correctness, retrieval recall, safety pass rate</w:t>
      </w:r>
    </w:p>
    <w:p>
      <w:pPr>
        <w:pStyle w:val="Heading2"/>
      </w:pPr>
      <w:r>
        <w:t>SLI/SLO starter</w:t>
      </w:r>
    </w:p>
    <w:tbl>
      <w:tblPr>
        <w:tblW w:type="dxa" w:w="9360"/>
        <w:tblLayout w:type="fixed"/>
        <w:tblLook w:firstColumn="1" w:firstRow="1" w:lastColumn="0" w:lastRow="0" w:noHBand="0" w:noVBand="1" w:val="04A0"/>
        <w:jc w:val="left"/>
        <w:tblInd w:w="120" w:type="dxa"/>
      </w:tblPr>
      <w:tblGrid>
        <w:gridCol w:w="2048"/>
        <w:gridCol w:w="3655"/>
        <w:gridCol w:w="3657"/>
      </w:tblGrid>
      <w:tr>
        <w:trPr>
          <w:tblHeader w:val="true"/>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SLI</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Initial SLO</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Measurement</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Query availability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99.9% successful eligible requests / 30 days</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Exclude invalid/unauthorized requests; include dependency failures and timeouts.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End-to-end latency</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95% &lt; 4 s and 99% &lt; 10 s</w:t>
            </w:r>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Separate streaming time-to-first-token from completion latency.</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Retrieval latency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99% &lt; 750 ms</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Retriever span for eligible queries.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Grounded answer rate</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 95% citation-valid or safe abstention</w:t>
            </w:r>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Deterministic citation check on all; sampled Ragas/human review.</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Retrieval quality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Recall@5 ≥ 0.85 on golden set</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Versioned offline evaluation before promotion.</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Tenant isolation</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100%; zero cross-tenant chunks</w:t>
            </w:r>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Security tests and runtime audit sampling; any breach is Sev-1.</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048"/>
        <w:gridCol w:w="3655"/>
        <w:gridCol w:w="3657"/>
      </w:tblGrid>
      <w:tr>
        <w:trPr>
          <w:tblHeader w:val="true"/>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SLI</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Initial SLO</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Measurement</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Agent safety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100% consequential actions approved and policy-valid</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Audit tool proposals, decisions, identities, and idempotency keys.</w:t>
            </w:r>
          </w:p>
        </w:tc>
      </w:tr>
    </w:tbl>
    <w:p>
      <w:pPr>
        <w:spacing w:before="0" w:after="20" w:line="240" w:lineRule="auto"/>
      </w:pPr>
    </w:p>
    <w:p>
      <w:pPr>
        <w:spacing w:before="0" w:after="120" w:line="300" w:lineRule="auto"/>
      </w:pPr>
      <w:r>
        <w:rPr>
          <w:rFonts w:ascii="Calibri" w:hAnsi="Calibri" w:eastAsia="Calibri" w:cs="Calibri"/>
          <w:b w:val="0"/>
          <w:i w:val="0"/>
          <w:color w:val="0B2545"/>
          <w:sz w:val="22"/>
        </w:rPr>
        <w:t>99.9% monthly availability allows about 43.2 minutes of error budget in a 30-day window. Use multi-window burn alerts: fast burn pages; slow burn creates a ticket. Freeze risky releases when the budget policy threshold is crossed.</w:t>
      </w:r>
    </w:p>
    <w:p>
      <w:pPr>
        <w:pStyle w:val="Heading2"/>
      </w:pPr>
      <w:r>
        <w:t>Prometheus alert rules</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groups: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name: enterprise-ai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rules: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alert: RagHighErrorRate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expr: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sum(rate(rag_requests_total{outcome=~"error|timeout"}[5m]))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clamp_min(sum(rate(rag_requests_total[5m])), 0.001) &gt; 0.05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for: 10m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labels: {severity: page}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annotations: {summary: "RAG error rate above 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alert: RagP95LatencyHigh</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expr: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histogram_quantile(0.95,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sum by (le) (rate(rag_request_duration_seconds_bucket[5m]))) &gt; 4</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for: 15m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labels: {severity: page}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annotations: {summary: "RAG p95 latency above SLO"}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alert: CitationValidationFailures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expr: increase(rag_citation_validation_failures_total[15m]) &gt; 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labels: {severity: ticket}</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annotations: {summary: "Citation validation failures detected"}</w:t>
      </w:r>
    </w:p>
    <w:p>
      <w:pPr>
        <w:spacing w:before="0" w:after="20" w:line="240" w:lineRule="auto"/>
      </w:pPr>
    </w:p>
    <w:p>
      <w:pPr>
        <w:pStyle w:val="Heading2"/>
      </w:pPr>
      <w:r>
        <w:t>Grafana dashboard JSON snippet</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JSON</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"title": "Enterprise AI - RAG Overview",</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"panels":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"type": "timeseries",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"title": "Request p95 latency",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"targets": [{"expr": "histogram_quantile(0.95, sum by (le) (rate(rag_request_duration_seconds_bucket[5m])))"}]</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"type": "timeseries",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"title": "Retrieval vs generation p95",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"targets":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{"expr": "histogram_quantile(0.95, sum by (le) (rate(rag_retrieval_duration_seconds_bucket[5m])))", "legendFormat": "retrieval"},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{"expr": "histogram_quantile(0.95, sum by (le) (rate(rag_generation_duration_seconds_bucket[5m])))", "legendFormat": "generation"}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w:t>
      </w:r>
    </w:p>
    <w:p>
      <w:pPr>
        <w:spacing w:before="0" w:after="20" w:line="240" w:lineRule="auto"/>
      </w:pPr>
    </w:p>
    <w:p>
      <w:pPr>
        <w:pStyle w:val="Heading2"/>
      </w:pPr>
      <w:r>
        <w:t>Autoscaling starters</w:t>
      </w:r>
    </w:p>
    <w:p>
      <w:pPr>
        <w:spacing w:before="0" w:after="120" w:line="300" w:lineRule="auto"/>
      </w:pPr>
      <w:r>
        <w:rPr>
          <w:rFonts w:ascii="Calibri" w:hAnsi="Calibri" w:eastAsia="Calibri" w:cs="Calibri"/>
          <w:b w:val="0"/>
          <w:i w:val="0"/>
          <w:color w:val="0B2545"/>
          <w:sz w:val="22"/>
        </w:rPr>
        <w:t>EKS HPA should scale from measured CPU plus a workload metric such as in-flight requests. Keep minimum replicas at two for a production availability target and pair HPA with a PDB and capacity headroom.</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apiVersion: autoscaling/v2</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kind: HorizontalPodAutoscaler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metadata: {name: enterprise-ai-api}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spec: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scaleTargetRef: {apiVersion: apps/v1, kind: Deployment, name: enterprise-ai-api}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minReplicas: 2</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maxReplicas: 10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metrics: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type: Resource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resource: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name: cpu</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target: {type: Utilization, averageUtilization: 65}</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behavior: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scaleDown:</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stabilizationWindowSeconds: 300</w:t>
      </w:r>
    </w:p>
    <w:p>
      <w:pPr>
        <w:spacing w:before="0" w:after="20" w:line="240" w:lineRule="auto"/>
      </w:pPr>
    </w:p>
    <w:p>
      <w:pPr>
        <w:spacing w:before="0" w:after="120" w:line="300" w:lineRule="auto"/>
      </w:pPr>
      <w:r>
        <w:rPr>
          <w:rFonts w:ascii="Calibri" w:hAnsi="Calibri" w:eastAsia="Calibri" w:cs="Calibri"/>
          <w:b w:val="0"/>
          <w:i w:val="0"/>
          <w:color w:val="0B2545"/>
          <w:sz w:val="22"/>
        </w:rPr>
        <w:t xml:space="preserve">For a SageMaker endpoint, have Codex generate </w:t>
      </w:r>
      <w:r>
        <w:rPr>
          <w:rFonts w:ascii="DejaVu Sans Mono" w:hAnsi="DejaVu Sans Mono" w:eastAsia="DejaVu Sans Mono" w:cs="DejaVu Sans Mono"/>
          <w:color w:val="1F4D78"/>
          <w:sz w:val="21"/>
          <w:shd w:fill="F2F4F7"/>
        </w:rPr>
        <w:t>aws_appautoscaling_target</w:t>
      </w:r>
      <w:r>
        <w:rPr>
          <w:rFonts w:ascii="Calibri" w:hAnsi="Calibri" w:eastAsia="Calibri" w:cs="Calibri"/>
          <w:b w:val="0"/>
          <w:i w:val="0"/>
          <w:color w:val="0B2545"/>
          <w:sz w:val="22"/>
        </w:rPr>
        <w:t xml:space="preserve"> and target-tracking policies for </w:t>
      </w:r>
      <w:r>
        <w:rPr>
          <w:rFonts w:ascii="DejaVu Sans Mono" w:hAnsi="DejaVu Sans Mono" w:eastAsia="DejaVu Sans Mono" w:cs="DejaVu Sans Mono"/>
          <w:color w:val="1F4D78"/>
          <w:sz w:val="21"/>
          <w:shd w:fill="F2F4F7"/>
        </w:rPr>
        <w:t>SageMakerVariantInvocationsPerInstance</w:t>
      </w:r>
      <w:r>
        <w:rPr>
          <w:rFonts w:ascii="Calibri" w:hAnsi="Calibri" w:eastAsia="Calibri" w:cs="Calibri"/>
          <w:b w:val="0"/>
          <w:i w:val="0"/>
          <w:color w:val="0B2545"/>
          <w:sz w:val="22"/>
        </w:rPr>
        <w:t xml:space="preserve">, with min/max capacity, cooldowns, alarms, and load-test evidence. Endpoint autoscaling is </w:t>
      </w:r>
      <w:r>
        <w:rPr>
          <w:rFonts w:ascii="Calibri" w:hAnsi="Calibri" w:eastAsia="Calibri" w:cs="Calibri"/>
          <w:b/>
          <w:i w:val="0"/>
          <w:color w:val="5B6573"/>
          <w:sz w:val="22"/>
        </w:rPr>
        <w:t>OPTIONAL</w:t>
      </w:r>
      <w:r>
        <w:rPr>
          <w:rFonts w:ascii="Calibri" w:hAnsi="Calibri" w:eastAsia="Calibri" w:cs="Calibri"/>
          <w:b w:val="0"/>
          <w:i w:val="0"/>
          <w:color w:val="0B2545"/>
          <w:sz w:val="22"/>
        </w:rPr>
        <w:t xml:space="preserve"> until a custom model endpoint exists.</w:t>
      </w:r>
    </w:p>
    <w:p>
      <w:pPr>
        <w:pStyle w:val="Heading2"/>
      </w:pPr>
      <w:r>
        <w:t>Runbook: inference latency spike</w:t>
      </w:r>
    </w:p>
    <w:p>
      <w:pPr>
        <w:spacing w:before="0" w:after="120" w:line="300" w:lineRule="auto"/>
      </w:pPr>
      <w:r>
        <w:rPr>
          <w:rFonts w:ascii="Calibri" w:hAnsi="Calibri" w:eastAsia="Calibri" w:cs="Calibri"/>
          <w:b/>
          <w:i w:val="0"/>
          <w:color w:val="0B2545"/>
          <w:sz w:val="22"/>
        </w:rPr>
        <w:t>Trigger:</w:t>
      </w:r>
      <w:r>
        <w:rPr>
          <w:rFonts w:ascii="Calibri" w:hAnsi="Calibri" w:eastAsia="Calibri" w:cs="Calibri"/>
          <w:b w:val="0"/>
          <w:i w:val="0"/>
          <w:color w:val="0B2545"/>
          <w:sz w:val="22"/>
        </w:rPr>
        <w:t xml:space="preserve"> p95 &gt; 4 s for 15 minutes, fast error-budget burn, or material time-to-first-token degradation.</w:t>
      </w:r>
    </w:p>
    <w:p>
      <w:pPr>
        <w:spacing w:before="0" w:after="80" w:line="300" w:lineRule="auto"/>
        <w:numPr>
          <w:ilvl w:val="0"/>
          <w:numId w:val="27"/>
        </w:numPr>
      </w:pPr>
      <w:r>
        <w:rPr>
          <w:rFonts w:ascii="Calibri" w:hAnsi="Calibri" w:eastAsia="Calibri" w:cs="Calibri"/>
          <w:b/>
          <w:i w:val="0"/>
          <w:color w:val="0B2545"/>
          <w:sz w:val="22"/>
        </w:rPr>
        <w:t>Impact and command:</w:t>
      </w:r>
      <w:r>
        <w:rPr>
          <w:rFonts w:ascii="Calibri" w:hAnsi="Calibri" w:eastAsia="Calibri" w:cs="Calibri"/>
          <w:b w:val="0"/>
          <w:i w:val="0"/>
          <w:color w:val="0B2545"/>
          <w:sz w:val="22"/>
        </w:rPr>
        <w:t xml:space="preserve"> Confirm affected tenants/routes/regions and safe-data SLI; name incident commander and communications owner; pause deployments.</w:t>
      </w:r>
    </w:p>
    <w:p>
      <w:pPr>
        <w:spacing w:before="0" w:after="80" w:line="300" w:lineRule="auto"/>
        <w:numPr>
          <w:ilvl w:val="0"/>
          <w:numId w:val="27"/>
        </w:numPr>
      </w:pPr>
      <w:r>
        <w:rPr>
          <w:rFonts w:ascii="Calibri" w:hAnsi="Calibri" w:eastAsia="Calibri" w:cs="Calibri"/>
          <w:b/>
          <w:i w:val="0"/>
          <w:color w:val="0B2545"/>
          <w:sz w:val="22"/>
        </w:rPr>
        <w:t>Validate signal:</w:t>
      </w:r>
      <w:r>
        <w:rPr>
          <w:rFonts w:ascii="Calibri" w:hAnsi="Calibri" w:eastAsia="Calibri" w:cs="Calibri"/>
          <w:b w:val="0"/>
          <w:i w:val="0"/>
          <w:color w:val="0B2545"/>
          <w:sz w:val="22"/>
        </w:rPr>
        <w:t xml:space="preserve"> Compare API, queue/concurrency, retrieval, embedding, guardrail, model, and tool spans. Check whether latency is traffic-weighted or caused by a low-volume path.</w:t>
      </w:r>
    </w:p>
    <w:p>
      <w:pPr>
        <w:spacing w:before="0" w:after="80" w:line="300" w:lineRule="auto"/>
        <w:numPr>
          <w:ilvl w:val="0"/>
          <w:numId w:val="27"/>
        </w:numPr>
      </w:pPr>
      <w:r>
        <w:rPr>
          <w:rFonts w:ascii="Calibri" w:hAnsi="Calibri" w:eastAsia="Calibri" w:cs="Calibri"/>
          <w:b/>
          <w:i w:val="0"/>
          <w:color w:val="0B2545"/>
          <w:sz w:val="22"/>
        </w:rPr>
        <w:t>Protect users:</w:t>
      </w:r>
      <w:r>
        <w:rPr>
          <w:rFonts w:ascii="Calibri" w:hAnsi="Calibri" w:eastAsia="Calibri" w:cs="Calibri"/>
          <w:b w:val="0"/>
          <w:i w:val="0"/>
          <w:color w:val="0B2545"/>
          <w:sz w:val="22"/>
        </w:rPr>
        <w:t xml:space="preserve"> Enforce deadlines/concurrency caps; shed noncritical agent requests; prefer cited RAG or abstention over an ungrounded fallback.</w:t>
      </w:r>
    </w:p>
    <w:p>
      <w:pPr>
        <w:spacing w:before="0" w:after="80" w:line="300" w:lineRule="auto"/>
        <w:numPr>
          <w:ilvl w:val="0"/>
          <w:numId w:val="27"/>
        </w:numPr>
      </w:pPr>
      <w:r>
        <w:rPr>
          <w:rFonts w:ascii="Calibri" w:hAnsi="Calibri" w:eastAsia="Calibri" w:cs="Calibri"/>
          <w:b/>
          <w:i w:val="0"/>
          <w:color w:val="0B2545"/>
          <w:sz w:val="22"/>
        </w:rPr>
        <w:t>Isolate retrieval:</w:t>
      </w:r>
      <w:r>
        <w:rPr>
          <w:rFonts w:ascii="Calibri" w:hAnsi="Calibri" w:eastAsia="Calibri" w:cs="Calibri"/>
          <w:b w:val="0"/>
          <w:i w:val="0"/>
          <w:color w:val="0B2545"/>
          <w:sz w:val="22"/>
        </w:rPr>
        <w:t xml:space="preserve"> Check OpenSearch/Qdrant health, CPU/JVM/memory, rejected threads, query latency, shard/index status, network/DNS/TLS, </w:t>
      </w:r>
      <w:r>
        <w:rPr>
          <w:rFonts w:ascii="DejaVu Sans Mono" w:hAnsi="DejaVu Sans Mono" w:eastAsia="DejaVu Sans Mono" w:cs="DejaVu Sans Mono"/>
          <w:color w:val="1F4D78"/>
          <w:sz w:val="21"/>
          <w:shd w:fill="F2F4F7"/>
        </w:rPr>
        <w:t>top_k</w:t>
      </w:r>
      <w:r>
        <w:rPr>
          <w:rFonts w:ascii="Calibri" w:hAnsi="Calibri" w:eastAsia="Calibri" w:cs="Calibri"/>
          <w:b w:val="0"/>
          <w:i w:val="0"/>
          <w:color w:val="0B2545"/>
          <w:sz w:val="22"/>
        </w:rPr>
        <w:t>, reranker, and oversized context.</w:t>
      </w:r>
    </w:p>
    <w:p>
      <w:pPr>
        <w:spacing w:before="0" w:after="80" w:line="300" w:lineRule="auto"/>
        <w:numPr>
          <w:ilvl w:val="0"/>
          <w:numId w:val="27"/>
        </w:numPr>
      </w:pPr>
      <w:r>
        <w:rPr>
          <w:rFonts w:ascii="Calibri" w:hAnsi="Calibri" w:eastAsia="Calibri" w:cs="Calibri"/>
          <w:b/>
          <w:i w:val="0"/>
          <w:color w:val="0B2545"/>
          <w:sz w:val="22"/>
        </w:rPr>
        <w:t>Isolate model:</w:t>
      </w:r>
      <w:r>
        <w:rPr>
          <w:rFonts w:ascii="Calibri" w:hAnsi="Calibri" w:eastAsia="Calibri" w:cs="Calibri"/>
          <w:b w:val="0"/>
          <w:i w:val="0"/>
          <w:color w:val="0B2545"/>
          <w:sz w:val="22"/>
        </w:rPr>
        <w:t xml:space="preserve"> Check Bedrock/SageMaker throttles, quota, first-token vs completion latency, token counts, retries, regional/model-specific impact, and endpoint instance saturation.</w:t>
      </w:r>
    </w:p>
    <w:p>
      <w:pPr>
        <w:spacing w:before="0" w:after="80" w:line="300" w:lineRule="auto"/>
        <w:numPr>
          <w:ilvl w:val="0"/>
          <w:numId w:val="27"/>
        </w:numPr>
      </w:pPr>
      <w:r>
        <w:rPr>
          <w:rFonts w:ascii="Calibri" w:hAnsi="Calibri" w:eastAsia="Calibri" w:cs="Calibri"/>
          <w:b/>
          <w:i w:val="0"/>
          <w:color w:val="0B2545"/>
          <w:sz w:val="22"/>
        </w:rPr>
        <w:t>Mitigate:</w:t>
      </w:r>
      <w:r>
        <w:rPr>
          <w:rFonts w:ascii="Calibri" w:hAnsi="Calibri" w:eastAsia="Calibri" w:cs="Calibri"/>
          <w:b w:val="0"/>
          <w:i w:val="0"/>
          <w:color w:val="0B2545"/>
          <w:sz w:val="22"/>
        </w:rPr>
        <w:t xml:space="preserve"> Roll back recent prompt/model/index/graph change; reduce safe context/top-k; disable optional reranking/tools; scale API/model endpoint; use a pre-approved compatible model or read-only cached response path.</w:t>
      </w:r>
    </w:p>
    <w:p>
      <w:pPr>
        <w:spacing w:before="0" w:after="80" w:line="300" w:lineRule="auto"/>
        <w:numPr>
          <w:ilvl w:val="0"/>
          <w:numId w:val="27"/>
        </w:numPr>
      </w:pPr>
      <w:r>
        <w:rPr>
          <w:rFonts w:ascii="Calibri" w:hAnsi="Calibri" w:eastAsia="Calibri" w:cs="Calibri"/>
          <w:b/>
          <w:i w:val="0"/>
          <w:color w:val="0B2545"/>
          <w:sz w:val="22"/>
        </w:rPr>
        <w:t>Recover:</w:t>
      </w:r>
      <w:r>
        <w:rPr>
          <w:rFonts w:ascii="Calibri" w:hAnsi="Calibri" w:eastAsia="Calibri" w:cs="Calibri"/>
          <w:b w:val="0"/>
          <w:i w:val="0"/>
          <w:color w:val="0B2545"/>
          <w:sz w:val="22"/>
        </w:rPr>
        <w:t xml:space="preserve"> Require SLO stability for 30 minutes, drain backlog, verify answer/citation evaluation did not regress, and restore traffic gradually.</w:t>
      </w:r>
    </w:p>
    <w:p>
      <w:pPr>
        <w:spacing w:before="0" w:after="80" w:line="300" w:lineRule="auto"/>
        <w:numPr>
          <w:ilvl w:val="0"/>
          <w:numId w:val="27"/>
        </w:numPr>
      </w:pPr>
      <w:r>
        <w:rPr>
          <w:rFonts w:ascii="Calibri" w:hAnsi="Calibri" w:eastAsia="Calibri" w:cs="Calibri"/>
          <w:b/>
          <w:i w:val="0"/>
          <w:color w:val="0B2545"/>
          <w:sz w:val="22"/>
        </w:rPr>
        <w:t>Preserve evidence:</w:t>
      </w:r>
      <w:r>
        <w:rPr>
          <w:rFonts w:ascii="Calibri" w:hAnsi="Calibri" w:eastAsia="Calibri" w:cs="Calibri"/>
          <w:b w:val="0"/>
          <w:i w:val="0"/>
          <w:color w:val="0B2545"/>
          <w:sz w:val="22"/>
        </w:rPr>
        <w:t xml:space="preserve"> Record deployment/model/prompt/index versions, trace IDs, safe metrics, timeline, commands, and decisions—never raw sensitive prompts.</w:t>
      </w:r>
    </w:p>
    <w:p>
      <w:pPr>
        <w:spacing w:before="0" w:after="80" w:line="300" w:lineRule="auto"/>
        <w:numPr>
          <w:ilvl w:val="0"/>
          <w:numId w:val="27"/>
        </w:numPr>
      </w:pPr>
      <w:r>
        <w:rPr>
          <w:rFonts w:ascii="Calibri" w:hAnsi="Calibri" w:eastAsia="Calibri" w:cs="Calibri"/>
          <w:b/>
          <w:i w:val="0"/>
          <w:color w:val="0B2545"/>
          <w:sz w:val="22"/>
        </w:rPr>
        <w:t>Learn:</w:t>
      </w:r>
      <w:r>
        <w:rPr>
          <w:rFonts w:ascii="Calibri" w:hAnsi="Calibri" w:eastAsia="Calibri" w:cs="Calibri"/>
          <w:b w:val="0"/>
          <w:i w:val="0"/>
          <w:color w:val="0B2545"/>
          <w:sz w:val="22"/>
        </w:rPr>
        <w:t xml:space="preserve"> Blameless review with owners/dates for capacity, quota, retry-storm prevention, load test, dashboard/alert, and architecture changes.</w:t>
      </w:r>
    </w:p>
    <w:p>
      <w:pPr>
        <w:pStyle w:val="Heading2"/>
      </w:pPr>
      <w:r>
        <w:t>Chaos plan</w:t>
      </w:r>
    </w:p>
    <w:tbl>
      <w:tblPr>
        <w:tblW w:type="dxa" w:w="9360"/>
        <w:tblLayout w:type="fixed"/>
        <w:tblLook w:firstColumn="1" w:firstRow="1" w:lastColumn="0" w:lastRow="0" w:noHBand="0" w:noVBand="1" w:val="04A0"/>
        <w:jc w:val="left"/>
        <w:tblInd w:w="120" w:type="dxa"/>
      </w:tblPr>
      <w:tblGrid>
        <w:gridCol w:w="1203"/>
        <w:gridCol w:w="2718"/>
        <w:gridCol w:w="2718"/>
        <w:gridCol w:w="2721"/>
      </w:tblGrid>
      <w:tr>
        <w:trPr>
          <w:tblHeader w:val="true"/>
          <w:cantSplit w:val="true"/>
        </w:trPr>
        <w:tc>
          <w:tcPr>
            <w:tcW w:type="dxa" w:w="120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Phase</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Experiment</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Safety control</w:t>
            </w:r>
          </w:p>
        </w:tc>
        <w:tc>
          <w:tcPr>
            <w:tcW w:type="dxa" w:w="272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Expected result</w:t>
            </w:r>
          </w:p>
        </w:tc>
      </w:tr>
      <w:tr>
        <w:trPr>
          <w:cantSplit w:val="true"/>
        </w:trPr>
        <w:tc>
          <w:tcPr>
            <w:tcW w:type="dxa" w:w="120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Local</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Stop Qdrant; inject fake LLM timeout/429</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Test data only, 2-minute cap</w:t>
            </w:r>
          </w:p>
        </w:tc>
        <w:tc>
          <w:tcPr>
            <w:tcW w:type="dxa" w:w="272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Readiness fails, request times out safely, no retry storm.</w:t>
            </w:r>
          </w:p>
        </w:tc>
      </w:tr>
      <w:tr>
        <w:trPr>
          <w:cantSplit w:val="true"/>
        </w:trPr>
        <w:tc>
          <w:tcPr>
            <w:tcW w:type="dxa" w:w="1203"/>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Staging</w:t>
            </w:r>
          </w:p>
        </w:tc>
        <w:tc>
          <w:tcPr>
            <w:tcW w:type="dxa" w:w="27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Delete one API pod; add dependency latency</w:t>
            </w:r>
          </w:p>
        </w:tc>
        <w:tc>
          <w:tcPr>
            <w:tcW w:type="dxa" w:w="27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PDB/HPA, stop condition, no production data</w:t>
            </w:r>
          </w:p>
        </w:tc>
        <w:tc>
          <w:tcPr>
            <w:tcW w:type="dxa" w:w="272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Traffic shifts; SLO remains within target or alert/runbook activates.</w:t>
            </w:r>
          </w:p>
        </w:tc>
      </w:tr>
      <w:tr>
        <w:trPr>
          <w:cantSplit w:val="true"/>
        </w:trPr>
        <w:tc>
          <w:tcPr>
            <w:tcW w:type="dxa" w:w="1203"/>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Pre-prod</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AWS FIS EKS pod delete/network/CPU scenario</w:t>
            </w:r>
          </w:p>
        </w:tc>
        <w:tc>
          <w:tcPr>
            <w:tcW w:type="dxa" w:w="271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Explicit IAM targets, tags, alarm stop conditions, approved window</w:t>
            </w:r>
          </w:p>
        </w:tc>
        <w:tc>
          <w:tcPr>
            <w:tcW w:type="dxa" w:w="2721"/>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RTO observed; alerts and rollback work.</w:t>
            </w:r>
          </w:p>
        </w:tc>
      </w:tr>
      <w:tr>
        <w:trPr>
          <w:cantSplit w:val="true"/>
        </w:trPr>
        <w:tc>
          <w:tcPr>
            <w:tcW w:type="dxa" w:w="1203"/>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Later</w:t>
            </w:r>
          </w:p>
        </w:tc>
        <w:tc>
          <w:tcPr>
            <w:tcW w:type="dxa" w:w="27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OpenSearch node/AZ or provider-region failure game day</w:t>
            </w:r>
          </w:p>
        </w:tc>
        <w:tc>
          <w:tcPr>
            <w:tcW w:type="dxa" w:w="271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Tested backup/restore and fallback; IC present</w:t>
            </w:r>
          </w:p>
        </w:tc>
        <w:tc>
          <w:tcPr>
            <w:tcW w:type="dxa" w:w="2721"/>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Documented RTO/RPO and capacity gap.</w:t>
            </w:r>
          </w:p>
        </w:tc>
      </w:tr>
    </w:tbl>
    <w:p>
      <w:pPr>
        <w:spacing w:before="0" w:after="20" w:line="240" w:lineRule="auto"/>
      </w:pPr>
    </w:p>
    <w:p>
      <w:pPr>
        <w:spacing w:before="0" w:after="120" w:line="300" w:lineRule="auto"/>
      </w:pPr>
      <w:r>
        <w:rPr>
          <w:rFonts w:ascii="Calibri" w:hAnsi="Calibri" w:eastAsia="Calibri" w:cs="Calibri"/>
          <w:b w:val="0"/>
          <w:i w:val="0"/>
          <w:color w:val="0B2545"/>
          <w:sz w:val="22"/>
        </w:rPr>
        <w:t>AWS FIS performs real disruptive actions. Run it in pre-production first and scope target tags/IAM narrowly.</w:t>
      </w:r>
    </w:p>
    <w:p>
      <w:r>
        <w:br w:type="page"/>
      </w:r>
    </w:p>
    <w:p>
      <w:pPr>
        <w:spacing w:before="0" w:after="0" w:line="240" w:lineRule="auto"/>
      </w:pPr>
      <w:r>
        <w:rPr>
          <w:rFonts w:ascii="Calibri" w:hAnsi="Calibri" w:eastAsia="Calibri" w:cs="Calibri"/>
          <w:color w:val="FFFFFF"/>
          <w:sz w:val="96"/>
        </w:rPr>
        <w:t xml:space="preserve"> </w:t>
      </w:r>
    </w:p>
    <w:p>
      <w:pPr>
        <w:pStyle w:val="Heading1"/>
      </w:pPr>
      <w:r>
        <w:t>Testing &amp; CI/CD</w:t>
      </w:r>
    </w:p>
    <w:p>
      <w:pPr>
        <w:pStyle w:val="Heading2"/>
      </w:pPr>
      <w:r>
        <w:t>Local Qdrant Compose</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services: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qdrant: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image: qdrant/qdrant:TODO_PIN_APPROVED_DIGEST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ports: ["6333:6333", "6334:6334"]</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volumes: ["qdrant_data:/qdrant/storage"]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healthcheck:</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test: ["CMD", "bash", "-c", "&lt;/dev/tcp/127.0.0.1/6333"]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interval: 5s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timeout: 3s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retries: 20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otel-collector:</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image: otel/opentelemetry-collector-contrib:TODO_PIN_APPROVED_DIGEST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command: ["--config=/etc/otelcol/config.yaml"]</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volumes: ["./observability/otel-collector.yaml:/etc/otelcol/config.yaml:ro"]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ports: ["4317:4317", "4318:4318", "9464:9464"]</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volumes: {qdrant_data: {}}</w:t>
      </w:r>
    </w:p>
    <w:p>
      <w:pPr>
        <w:spacing w:before="0" w:after="20" w:line="240" w:lineRule="auto"/>
      </w:pPr>
    </w:p>
    <w:p>
      <w:pPr>
        <w:spacing w:before="0" w:after="120" w:line="300" w:lineRule="auto"/>
      </w:pPr>
      <w:r>
        <w:rPr>
          <w:rFonts w:ascii="Calibri" w:hAnsi="Calibri" w:eastAsia="Calibri" w:cs="Calibri"/>
          <w:b w:val="0"/>
          <w:i w:val="0"/>
          <w:color w:val="0B2545"/>
          <w:sz w:val="22"/>
        </w:rPr>
        <w:t>Add Milvus as a separate Compose profile in week 11; its multi-service footprint is unnecessary for the MVP acceptance path.</w:t>
      </w:r>
    </w:p>
    <w:p>
      <w:pPr>
        <w:pStyle w:val="Heading2"/>
      </w:pPr>
      <w:r>
        <w:t>Unit test pattern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PYTHON</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import pytest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@pytest.mark.asyncio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async def test_rag_abstains_when_no_authorized_evidence(rag_service, vector_store):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vector_store.search_result =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answer = await rag_service.answer(question="unknown", tenant_id="tenant-a")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assert answer.abstained is True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assert answer.citations == []</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assert rag_service.llm.calls == 0</w:t>
      </w:r>
    </w:p>
    <w:p>
      <w:pPr>
        <w:spacing w:before="0" w:after="20" w:line="240" w:lineRule="auto"/>
      </w:pPr>
    </w:p>
    <w:p>
      <w:pPr>
        <w:pStyle w:val="Heading2"/>
      </w:pPr>
      <w:r>
        <w:t>Integration test pattern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PYTHON</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import pytest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@pytest.mark.integration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@pytest.mark.asyncio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async def test_qdrant_round_trip(qdrant_store, sample_chunks):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await qdrant_store.upsert_chunks(sample_chunks)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hits = await qdrant_store.search(</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sample_chunks[0].embedding,</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top_k=3,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filters={"tenant_id": "demo"},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assert hits</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assert hits[0].chunk.tenant_id == "demo"</w:t>
      </w:r>
    </w:p>
    <w:p>
      <w:pPr>
        <w:spacing w:before="0" w:after="20" w:line="240" w:lineRule="auto"/>
      </w:pPr>
    </w:p>
    <w:p>
      <w:pPr>
        <w:spacing w:before="0" w:after="120" w:line="300" w:lineRule="auto"/>
      </w:pPr>
      <w:r>
        <w:rPr>
          <w:rFonts w:ascii="Calibri" w:hAnsi="Calibri" w:eastAsia="Calibri" w:cs="Calibri"/>
          <w:b w:val="0"/>
          <w:i w:val="0"/>
          <w:color w:val="0B2545"/>
          <w:sz w:val="22"/>
        </w:rPr>
        <w:t xml:space="preserve">Use </w:t>
      </w:r>
      <w:r>
        <w:rPr>
          <w:rFonts w:ascii="DejaVu Sans Mono" w:hAnsi="DejaVu Sans Mono" w:eastAsia="DejaVu Sans Mono" w:cs="DejaVu Sans Mono"/>
          <w:color w:val="1F4D78"/>
          <w:sz w:val="21"/>
          <w:shd w:fill="F2F4F7"/>
        </w:rPr>
        <w:t>moto</w:t>
      </w:r>
      <w:r>
        <w:rPr>
          <w:rFonts w:ascii="Calibri" w:hAnsi="Calibri" w:eastAsia="Calibri" w:cs="Calibri"/>
          <w:b w:val="0"/>
          <w:i w:val="0"/>
          <w:color w:val="0B2545"/>
          <w:sz w:val="22"/>
        </w:rPr>
        <w:t xml:space="preserve"> for S3/Secrets Manager/IAM-shaped unit tests where supported. Use LocalStack or a real sandbox for integration behavior that mocks cannot faithfully reproduce. Never treat a mock as proof of IAM, Bedrock, EKS, OpenSearch, KMS, or network correctness.</w:t>
      </w:r>
    </w:p>
    <w:p>
      <w:pPr>
        <w:pStyle w:val="Heading2"/>
      </w:pPr>
      <w:r>
        <w:t>GitHub Actions workflow skeleton</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name: ci</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on: [pull_request]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permissions: {contents: read}</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jobs: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python: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runs-on: ubuntu-latest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timeout-minutes: 20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services: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qdrant: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image: qdrant/qdrant:TODO_PIN_APPROVED_DIGEST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ports: ["6333:6333"]</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steps: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actions/checkout@TODO_PIN_COMMIT_SHA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actions/setup-python@TODO_PIN_COMMIT_SHA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with: {python-version: "3.11", cache: pip}</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pip install -r requirements.txt -r requirements-dev.txt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ruff check . &amp;&amp; mypy src</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pytest tests/unit tests/contract -q --cov=src --cov-fail-under=80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pytest tests/integration -q -m integration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terraform-security:</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runs-on: ubuntu-latest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timeout-minutes: 20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steps: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actions/checkout@TODO_PIN_COMMIT_SHA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terraform fmt -check -recursive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tflint --recursive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checkov -d infra --external-checks-dir policies/checkov --quiet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opa test policies/opa -v</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supply-chain: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runs-on: ubuntu-latest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timeout-minutes: 20</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steps: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actions/checkout@TODO_PIN_COMMIT_SHA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docker build --tag enterprise-ai:${{ github.sha }}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trivy image --exit-code 1 --severity CRITICAL enterprise-ai:${{ github.sha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syft enterprise-ai:${{ github.sha }} -o cyclonedx-json=sbom.json</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 run: grype sbom:sbom.json --fail-on critical</w:t>
      </w:r>
    </w:p>
    <w:p>
      <w:pPr>
        <w:spacing w:before="0" w:after="20" w:line="240" w:lineRule="auto"/>
      </w:pPr>
    </w:p>
    <w:p>
      <w:pPr>
        <w:spacing w:before="0" w:after="120" w:line="300" w:lineRule="auto"/>
      </w:pPr>
      <w:r>
        <w:rPr>
          <w:rFonts w:ascii="Calibri" w:hAnsi="Calibri" w:eastAsia="Calibri" w:cs="Calibri"/>
          <w:b w:val="0"/>
          <w:i w:val="0"/>
          <w:color w:val="0B2545"/>
          <w:sz w:val="22"/>
        </w:rPr>
        <w:t xml:space="preserve">Deployment is a separate protected workflow using </w:t>
      </w:r>
      <w:r>
        <w:rPr>
          <w:rFonts w:ascii="DejaVu Sans Mono" w:hAnsi="DejaVu Sans Mono" w:eastAsia="DejaVu Sans Mono" w:cs="DejaVu Sans Mono"/>
          <w:color w:val="1F4D78"/>
          <w:sz w:val="21"/>
          <w:shd w:fill="F2F4F7"/>
        </w:rPr>
        <w:t>id-token: write</w:t>
      </w:r>
      <w:r>
        <w:rPr>
          <w:rFonts w:ascii="Calibri" w:hAnsi="Calibri" w:eastAsia="Calibri" w:cs="Calibri"/>
          <w:b w:val="0"/>
          <w:i w:val="0"/>
          <w:color w:val="0B2545"/>
          <w:sz w:val="22"/>
        </w:rPr>
        <w:t xml:space="preserve">, GitHub OIDC, an environment-scoped AWS role, and an immutable image digest. </w:t>
      </w:r>
      <w:r>
        <w:rPr>
          <w:rFonts w:ascii="DejaVu Sans Mono" w:hAnsi="DejaVu Sans Mono" w:eastAsia="DejaVu Sans Mono" w:cs="DejaVu Sans Mono"/>
          <w:color w:val="1F4D78"/>
          <w:sz w:val="21"/>
          <w:shd w:fill="F2F4F7"/>
        </w:rPr>
        <w:t>terraform apply</w:t>
      </w:r>
      <w:r>
        <w:rPr>
          <w:rFonts w:ascii="Calibri" w:hAnsi="Calibri" w:eastAsia="Calibri" w:cs="Calibri"/>
          <w:b w:val="0"/>
          <w:i w:val="0"/>
          <w:color w:val="0B2545"/>
          <w:sz w:val="22"/>
        </w:rPr>
        <w:t xml:space="preserve"> and production deployment require explicit approval.</w:t>
      </w:r>
    </w:p>
    <w:p>
      <w:pPr>
        <w:spacing w:before="0" w:after="120" w:line="300" w:lineRule="auto"/>
      </w:pPr>
      <w:r>
        <w:rPr>
          <w:rFonts w:ascii="Calibri" w:hAnsi="Calibri" w:eastAsia="Calibri" w:cs="Calibri"/>
          <w:b w:val="0"/>
          <w:i w:val="0"/>
          <w:color w:val="0B2545"/>
          <w:sz w:val="22"/>
        </w:rPr>
        <w:t>The sandbox plan job should use the same short-lived OIDC pattern and keep the possibly sensitive plan inside the ephemeral runner:</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YAML</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permissions: {contents: read, id-token: write}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steps:</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actions/checkout@TODO_PIN_COMMIT_SHA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uses: aws-actions/configure-aws-credentials@TODO_PIN_COMMIT_SHA</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with:</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role-to-assume: ${{ vars.AWS_TERRAFORM_PLAN_ROLE_ARN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aws-region: ${{ vars.AWS_REGION }}</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terraform -chdir=infra/environments/sandbox init -input=false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terraform -chdir=infra/environments/sandbox plan -input=false -out=tfplan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terraform -chdir=infra/environments/sandbox show -json tfplan &gt; infra/environments/sandbox/tfplan.json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checkov -f infra/environments/sandbox/tfplan.json --framework terraform_plan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run: opa eval --fail-defined -i infra/environments/sandbox/tfplan.json -d policies/opa/terraform.rego 'data.terraform.security.deny[_]'</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 xml:space="preserve">  - if: always()</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 xml:space="preserve">    run: rm -f infra/environments/sandbox/tfplan infra/environments/sandbox/tfplan.json</w:t>
      </w:r>
    </w:p>
    <w:p>
      <w:pPr>
        <w:spacing w:before="0" w:after="20" w:line="240" w:lineRule="auto"/>
      </w:pPr>
    </w:p>
    <w:p>
      <w:pPr>
        <w:spacing w:before="0" w:after="120" w:line="300" w:lineRule="auto"/>
      </w:pPr>
      <w:r>
        <w:rPr>
          <w:rFonts w:ascii="Calibri" w:hAnsi="Calibri" w:eastAsia="Calibri" w:cs="Calibri"/>
          <w:b w:val="0"/>
          <w:i w:val="0"/>
          <w:color w:val="0B2545"/>
          <w:sz w:val="22"/>
        </w:rPr>
        <w:t>Configure GitHub environment/branch trust conditions in the AWS role; do not grant apply permissions to the plan role.</w:t>
      </w:r>
    </w:p>
    <w:p>
      <w:pPr>
        <w:pStyle w:val="Heading2"/>
      </w:pPr>
      <w:r>
        <w:t>Test pyramid and release gate</w:t>
      </w:r>
    </w:p>
    <w:p>
      <w:pPr>
        <w:spacing w:before="0" w:after="80" w:line="300" w:lineRule="auto"/>
        <w:numPr>
          <w:ilvl w:val="0"/>
          <w:numId w:val="28"/>
        </w:numPr>
      </w:pPr>
      <w:r>
        <w:rPr>
          <w:rFonts w:ascii="Calibri" w:hAnsi="Calibri" w:eastAsia="Calibri" w:cs="Calibri"/>
          <w:b/>
          <w:i w:val="0"/>
          <w:color w:val="0B2545"/>
          <w:sz w:val="22"/>
        </w:rPr>
        <w:t>MUST every PR:</w:t>
      </w:r>
      <w:r>
        <w:rPr>
          <w:rFonts w:ascii="Calibri" w:hAnsi="Calibri" w:eastAsia="Calibri" w:cs="Calibri"/>
          <w:b w:val="0"/>
          <w:i w:val="0"/>
          <w:color w:val="0B2545"/>
          <w:sz w:val="22"/>
        </w:rPr>
        <w:t xml:space="preserve"> unit, contract-fake, lint/type, policy tests, secrets, SCA/IaC/container, evaluation smoke.</w:t>
      </w:r>
    </w:p>
    <w:p>
      <w:pPr>
        <w:spacing w:before="0" w:after="80" w:line="300" w:lineRule="auto"/>
        <w:numPr>
          <w:ilvl w:val="0"/>
          <w:numId w:val="28"/>
        </w:numPr>
      </w:pPr>
      <w:r>
        <w:rPr>
          <w:rFonts w:ascii="Calibri" w:hAnsi="Calibri" w:eastAsia="Calibri" w:cs="Calibri"/>
          <w:b/>
          <w:i w:val="0"/>
          <w:color w:val="0B2545"/>
          <w:sz w:val="22"/>
        </w:rPr>
        <w:t>MUST before merge:</w:t>
      </w:r>
      <w:r>
        <w:rPr>
          <w:rFonts w:ascii="Calibri" w:hAnsi="Calibri" w:eastAsia="Calibri" w:cs="Calibri"/>
          <w:b w:val="0"/>
          <w:i w:val="0"/>
          <w:color w:val="0B2545"/>
          <w:sz w:val="22"/>
        </w:rPr>
        <w:t xml:space="preserve"> Qdrant integration, Terraform sandbox plan, baseline evaluation regression check.</w:t>
      </w:r>
    </w:p>
    <w:p>
      <w:pPr>
        <w:spacing w:before="0" w:after="80" w:line="300" w:lineRule="auto"/>
        <w:numPr>
          <w:ilvl w:val="0"/>
          <w:numId w:val="28"/>
        </w:numPr>
      </w:pPr>
      <w:r>
        <w:rPr>
          <w:rFonts w:ascii="Calibri" w:hAnsi="Calibri" w:eastAsia="Calibri" w:cs="Calibri"/>
          <w:b/>
          <w:i w:val="0"/>
          <w:color w:val="0B2545"/>
          <w:sz w:val="22"/>
        </w:rPr>
        <w:t>MUST before environment promotion:</w:t>
      </w:r>
      <w:r>
        <w:rPr>
          <w:rFonts w:ascii="Calibri" w:hAnsi="Calibri" w:eastAsia="Calibri" w:cs="Calibri"/>
          <w:b w:val="0"/>
          <w:i w:val="0"/>
          <w:color w:val="0B2545"/>
          <w:sz w:val="22"/>
        </w:rPr>
        <w:t xml:space="preserve"> OpenSearch/Bedrock sandbox integration, tenant isolation, load, rollback, runbook and dashboard verification.</w:t>
      </w:r>
    </w:p>
    <w:p>
      <w:pPr>
        <w:spacing w:before="0" w:after="80" w:line="300" w:lineRule="auto"/>
        <w:numPr>
          <w:ilvl w:val="0"/>
          <w:numId w:val="28"/>
        </w:numPr>
      </w:pPr>
      <w:r>
        <w:rPr>
          <w:rFonts w:ascii="Calibri" w:hAnsi="Calibri" w:eastAsia="Calibri" w:cs="Calibri"/>
          <w:b/>
          <w:i w:val="0"/>
          <w:color w:val="0B2545"/>
          <w:sz w:val="22"/>
        </w:rPr>
        <w:t>SHOULD nightly:</w:t>
      </w:r>
      <w:r>
        <w:rPr>
          <w:rFonts w:ascii="Calibri" w:hAnsi="Calibri" w:eastAsia="Calibri" w:cs="Calibri"/>
          <w:b w:val="0"/>
          <w:i w:val="0"/>
          <w:color w:val="0B2545"/>
          <w:sz w:val="22"/>
        </w:rPr>
        <w:t xml:space="preserve"> extended golden set, prompt injection/red-team cases, dependency failure matrix, cost report.</w:t>
      </w:r>
    </w:p>
    <w:p>
      <w:pPr>
        <w:spacing w:before="0" w:after="80" w:line="300" w:lineRule="auto"/>
        <w:numPr>
          <w:ilvl w:val="0"/>
          <w:numId w:val="28"/>
        </w:numPr>
      </w:pPr>
      <w:r>
        <w:rPr>
          <w:rFonts w:ascii="Calibri" w:hAnsi="Calibri" w:eastAsia="Calibri" w:cs="Calibri"/>
          <w:b/>
          <w:i w:val="0"/>
          <w:color w:val="0B2545"/>
          <w:sz w:val="22"/>
        </w:rPr>
        <w:t>SHOULD pre-production:</w:t>
      </w:r>
      <w:r>
        <w:rPr>
          <w:rFonts w:ascii="Calibri" w:hAnsi="Calibri" w:eastAsia="Calibri" w:cs="Calibri"/>
          <w:b w:val="0"/>
          <w:i w:val="0"/>
          <w:color w:val="0B2545"/>
          <w:sz w:val="22"/>
        </w:rPr>
        <w:t xml:space="preserve"> chaos, backup/restore, quota/failover, HPA and PDB tests.</w:t>
      </w:r>
    </w:p>
    <w:p>
      <w:r>
        <w:br w:type="page"/>
      </w:r>
    </w:p>
    <w:p>
      <w:pPr>
        <w:spacing w:before="0" w:after="0" w:line="240" w:lineRule="auto"/>
      </w:pPr>
      <w:r>
        <w:rPr>
          <w:rFonts w:ascii="Calibri" w:hAnsi="Calibri" w:eastAsia="Calibri" w:cs="Calibri"/>
          <w:color w:val="FFFFFF"/>
          <w:sz w:val="96"/>
        </w:rPr>
        <w:t xml:space="preserve"> </w:t>
      </w:r>
    </w:p>
    <w:p>
      <w:pPr>
        <w:pStyle w:val="Heading1"/>
      </w:pPr>
      <w:r>
        <w:t>Learning Resources</w:t>
      </w:r>
    </w:p>
    <w:p>
      <w:pPr>
        <w:spacing w:before="0" w:after="120" w:line="300" w:lineRule="auto"/>
      </w:pPr>
      <w:r>
        <w:rPr>
          <w:rFonts w:ascii="Calibri" w:hAnsi="Calibri" w:eastAsia="Calibri" w:cs="Calibri"/>
          <w:b w:val="0"/>
          <w:i w:val="0"/>
          <w:color w:val="0B2545"/>
          <w:sz w:val="22"/>
        </w:rPr>
        <w:t>Use official documentation and complete the exercise beside each resource; passive reading is not a checkpoint.</w:t>
      </w:r>
    </w:p>
    <w:tbl>
      <w:tblPr>
        <w:tblW w:type="dxa" w:w="9360"/>
        <w:tblLayout w:type="fixed"/>
        <w:tblLook w:firstColumn="1" w:firstRow="1" w:lastColumn="0" w:lastRow="0" w:noHBand="0" w:noVBand="1" w:val="04A0"/>
        <w:jc w:val="left"/>
        <w:tblInd w:w="120" w:type="dxa"/>
      </w:tblPr>
      <w:tblGrid>
        <w:gridCol w:w="2048"/>
        <w:gridCol w:w="3655"/>
        <w:gridCol w:w="3657"/>
      </w:tblGrid>
      <w:tr>
        <w:trPr>
          <w:tblHeader w:val="true"/>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Topic</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Resource</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Hands-on checkpoint</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RAG on AWS</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2">
              <w:r>
                <w:rPr>
                  <w:color w:val="2E74B5"/>
                  <w:u w:val="single"/>
                  <w:sz w:val="17"/>
                  <w:szCs w:val="17"/>
                </w:rPr>
                <w:t>Amazon Bedrock Knowledge Bases</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Explain retrieve → augment → generate; build your own adapter before comparing managed KB.</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Agent graphs</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3">
              <w:r>
                <w:rPr>
                  <w:color w:val="2E74B5"/>
                  <w:u w:val="single"/>
                  <w:sz w:val="17"/>
                  <w:szCs w:val="17"/>
                </w:rPr>
                <w:t>LangGraph overview</w:t>
              </w:r>
            </w:hyperlink>
            <w:r>
              <w:rPr>
                <w:rFonts w:ascii="Calibri" w:hAnsi="Calibri" w:eastAsia="Calibri" w:cs="Calibri"/>
                <w:b w:val="0"/>
                <w:i w:val="0"/>
                <w:color w:val="0B2545"/>
                <w:sz w:val="17"/>
              </w:rPr>
              <w:t xml:space="preserve"> and </w:t>
            </w:r>
            <w:hyperlink r:id="rId24">
              <w:r>
                <w:rPr>
                  <w:color w:val="2E74B5"/>
                  <w:u w:val="single"/>
                  <w:sz w:val="17"/>
                  <w:szCs w:val="17"/>
                </w:rPr>
                <w:t>interrupts</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Draw graph state/terminal paths and prove a write tool pauses for approval.</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Vector search</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5">
              <w:r>
                <w:rPr>
                  <w:color w:val="2E74B5"/>
                  <w:u w:val="single"/>
                  <w:sz w:val="17"/>
                  <w:szCs w:val="17"/>
                </w:rPr>
                <w:t>Qdrant local quickstart</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Run Docker, upsert filtered chunks, query, delete a document version.</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AWS vectors/security</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6">
              <w:r>
                <w:rPr>
                  <w:color w:val="2E74B5"/>
                  <w:u w:val="single"/>
                  <w:sz w:val="17"/>
                  <w:szCs w:val="17"/>
                </w:rPr>
                <w:t>OpenSearch k-NN</w:t>
              </w:r>
            </w:hyperlink>
            <w:r>
              <w:rPr>
                <w:rFonts w:ascii="Calibri" w:hAnsi="Calibri" w:eastAsia="Calibri" w:cs="Calibri"/>
                <w:b w:val="0"/>
                <w:i w:val="0"/>
                <w:color w:val="0B2545"/>
                <w:sz w:val="17"/>
              </w:rPr>
              <w:t xml:space="preserve"> and </w:t>
            </w:r>
            <w:hyperlink r:id="rId27">
              <w:r>
                <w:rPr>
                  <w:color w:val="2E74B5"/>
                  <w:u w:val="single"/>
                  <w:sz w:val="17"/>
                  <w:szCs w:val="17"/>
                </w:rPr>
                <w:t>fine-grained access</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Create plan for private/encrypted domain and explain tenant filtering vs IAM/FGAC.</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Evaluation</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8">
              <w:r>
                <w:rPr>
                  <w:color w:val="2E74B5"/>
                  <w:u w:val="single"/>
                  <w:sz w:val="17"/>
                  <w:szCs w:val="17"/>
                </w:rPr>
                <w:t>Ragas RAG evaluation</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Produce a baseline report from at least 25 golden cases.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OTel</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29">
              <w:r>
                <w:rPr>
                  <w:color w:val="2E74B5"/>
                  <w:u w:val="single"/>
                  <w:sz w:val="17"/>
                  <w:szCs w:val="17"/>
                </w:rPr>
                <w:t>OpenTelemetry Python getting started</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Trace API → retrieval → model with redacted attributes.</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048"/>
        <w:gridCol w:w="3655"/>
        <w:gridCol w:w="3657"/>
      </w:tblGrid>
      <w:tr>
        <w:trPr>
          <w:tblHeader w:val="true"/>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Topic</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Resource</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Hands-on checkpoint</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Policy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0">
              <w:r>
                <w:rPr>
                  <w:color w:val="2E74B5"/>
                  <w:u w:val="single"/>
                  <w:sz w:val="17"/>
                  <w:szCs w:val="17"/>
                </w:rPr>
                <w:t>OPA Terraform tutorial</w:t>
              </w:r>
            </w:hyperlink>
            <w:r>
              <w:rPr>
                <w:rFonts w:ascii="Calibri" w:hAnsi="Calibri" w:eastAsia="Calibri" w:cs="Calibri"/>
                <w:b w:val="0"/>
                <w:i w:val="0"/>
                <w:color w:val="0B2545"/>
                <w:sz w:val="17"/>
              </w:rPr>
              <w:t xml:space="preserve">, </w:t>
            </w:r>
            <w:hyperlink r:id="rId31">
              <w:r>
                <w:rPr>
                  <w:color w:val="2E74B5"/>
                  <w:u w:val="single"/>
                  <w:sz w:val="17"/>
                  <w:szCs w:val="17"/>
                </w:rPr>
                <w:t>OPA tests</w:t>
              </w:r>
            </w:hyperlink>
            <w:r>
              <w:rPr>
                <w:rFonts w:ascii="Calibri" w:hAnsi="Calibri" w:eastAsia="Calibri" w:cs="Calibri"/>
                <w:b w:val="0"/>
                <w:i w:val="0"/>
                <w:color w:val="0B2545"/>
                <w:sz w:val="17"/>
              </w:rPr>
              <w:t xml:space="preserve">, </w:t>
            </w:r>
            <w:hyperlink r:id="rId32">
              <w:r>
                <w:rPr>
                  <w:color w:val="2E74B5"/>
                  <w:u w:val="single"/>
                  <w:sz w:val="17"/>
                  <w:szCs w:val="17"/>
                </w:rPr>
                <w:t>Checkov custom policies</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Make an insecure fixture fail and a secure fixture pass.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CI identity</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3">
              <w:r>
                <w:rPr>
                  <w:color w:val="2E74B5"/>
                  <w:u w:val="single"/>
                  <w:sz w:val="17"/>
                  <w:szCs w:val="17"/>
                </w:rPr>
                <w:t>GitHub OIDC with AWS</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Obtain a short-lived role session with no stored AWS access key.</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PyTorch</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4">
              <w:r>
                <w:rPr>
                  <w:color w:val="2E74B5"/>
                  <w:u w:val="single"/>
                  <w:sz w:val="17"/>
                  <w:szCs w:val="17"/>
                </w:rPr>
                <w:t>PyTorch tutorials</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Train/save a tiny deterministic baseline and capture metrics.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Fine-tuning</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5">
              <w:r>
                <w:rPr>
                  <w:color w:val="2E74B5"/>
                  <w:u w:val="single"/>
                  <w:sz w:val="17"/>
                  <w:szCs w:val="17"/>
                </w:rPr>
                <w:t>Hugging Face PEFT</w:t>
              </w:r>
            </w:hyperlink>
            <w:r>
              <w:rPr>
                <w:rFonts w:ascii="Calibri" w:hAnsi="Calibri" w:eastAsia="Calibri" w:cs="Calibri"/>
                <w:b w:val="0"/>
                <w:i w:val="0"/>
                <w:color w:val="0B2545"/>
                <w:sz w:val="17"/>
              </w:rPr>
              <w:t xml:space="preserve"> and </w:t>
            </w:r>
            <w:hyperlink r:id="rId36">
              <w:r>
                <w:rPr>
                  <w:color w:val="2E74B5"/>
                  <w:u w:val="single"/>
                  <w:sz w:val="17"/>
                  <w:szCs w:val="17"/>
                </w:rPr>
                <w:t>LoRA</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 xml:space="preserve">Run </w:t>
            </w:r>
            <w:r>
              <w:rPr>
                <w:rFonts w:ascii="DejaVu Sans Mono" w:hAnsi="DejaVu Sans Mono" w:eastAsia="DejaVu Sans Mono" w:cs="DejaVu Sans Mono"/>
                <w:color w:val="1F4D78"/>
                <w:sz w:val="16"/>
                <w:shd w:fill="F2F4F7"/>
              </w:rPr>
              <w:t>fast_dev_run</w:t>
            </w:r>
            <w:r>
              <w:rPr>
                <w:rFonts w:ascii="Calibri" w:hAnsi="Calibri" w:eastAsia="Calibri" w:cs="Calibri"/>
                <w:b w:val="0"/>
                <w:i w:val="0"/>
                <w:color w:val="0B2545"/>
                <w:sz w:val="17"/>
              </w:rPr>
              <w:t>, save adapter only, compare against RAG baseline.</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AutoGen</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7">
              <w:r>
                <w:rPr>
                  <w:color w:val="2E74B5"/>
                  <w:u w:val="single"/>
                  <w:sz w:val="17"/>
                  <w:szCs w:val="17"/>
                </w:rPr>
                <w:t>AutoGen AgentChat</w:t>
              </w:r>
            </w:hyperlink>
            <w:r>
              <w:rPr>
                <w:rFonts w:ascii="Calibri" w:hAnsi="Calibri" w:eastAsia="Calibri" w:cs="Calibri"/>
                <w:b w:val="0"/>
                <w:i w:val="0"/>
                <w:color w:val="0B2545"/>
                <w:sz w:val="17"/>
              </w:rPr>
              <w:t xml:space="preserve"> and </w:t>
            </w:r>
            <w:hyperlink r:id="rId38">
              <w:r>
                <w:rPr>
                  <w:color w:val="2E74B5"/>
                  <w:u w:val="single"/>
                  <w:sz w:val="17"/>
                  <w:szCs w:val="17"/>
                </w:rPr>
                <w:t>Studio</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Rebuild one read-only graph in a lab and compare failure/approval semantics.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Model governance</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39">
              <w:r>
                <w:rPr>
                  <w:color w:val="2E74B5"/>
                  <w:u w:val="single"/>
                  <w:sz w:val="17"/>
                  <w:szCs w:val="17"/>
                </w:rPr>
                <w:t>SageMaker Model Registry</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Register a synthetic model version with metrics and approval status.</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048"/>
        <w:gridCol w:w="3655"/>
        <w:gridCol w:w="3657"/>
      </w:tblGrid>
      <w:tr>
        <w:trPr>
          <w:tblHeader w:val="true"/>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Topic</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Resource</w:t>
            </w:r>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Hands-on checkpoint</w:t>
            </w:r>
          </w:p>
        </w:tc>
      </w:tr>
      <w:tr>
        <w:trPr>
          <w:cantSplit w:val="true"/>
        </w:trPr>
        <w:tc>
          <w:tcPr>
            <w:tcW w:type="dxa" w:w="204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Reliability</w:t>
            </w:r>
          </w:p>
        </w:tc>
        <w:tc>
          <w:tcPr>
            <w:tcW w:type="dxa" w:w="3655"/>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40">
              <w:r>
                <w:rPr>
                  <w:color w:val="2E74B5"/>
                  <w:u w:val="single"/>
                  <w:sz w:val="17"/>
                  <w:szCs w:val="17"/>
                </w:rPr>
                <w:t>AWS Fault Injection Service</w:t>
              </w:r>
            </w:hyperlink>
          </w:p>
        </w:tc>
        <w:tc>
          <w:tcPr>
            <w:tcW w:type="dxa" w:w="3657"/>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Write a pre-production-only experiment plan with alarm stop conditions.</w:t>
            </w:r>
          </w:p>
        </w:tc>
      </w:tr>
      <w:tr>
        <w:trPr>
          <w:cantSplit w:val="true"/>
        </w:trPr>
        <w:tc>
          <w:tcPr>
            <w:tcW w:type="dxa" w:w="204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OpenAI option</w:t>
            </w:r>
          </w:p>
        </w:tc>
        <w:tc>
          <w:tcPr>
            <w:tcW w:type="dxa" w:w="3655"/>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hyperlink r:id="rId41">
              <w:r>
                <w:rPr>
                  <w:color w:val="2E74B5"/>
                  <w:u w:val="single"/>
                  <w:sz w:val="17"/>
                  <w:szCs w:val="17"/>
                </w:rPr>
                <w:t>Assistants migration guide</w:t>
              </w:r>
            </w:hyperlink>
          </w:p>
        </w:tc>
        <w:tc>
          <w:tcPr>
            <w:tcW w:type="dxa" w:w="3657"/>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Implement provider-neutral tool/state contracts; use Responses/Conversations only if approved.</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pStyle w:val="Heading1"/>
      </w:pPr>
      <w:r>
        <w:t>Vendor Cost, Privacy, and Migration Rules</w:t>
      </w:r>
    </w:p>
    <w:tbl>
      <w:tblPr>
        <w:tblW w:type="dxa" w:w="9360"/>
        <w:tblLayout w:type="fixed"/>
        <w:tblLook w:firstColumn="1" w:firstRow="1" w:lastColumn="0" w:lastRow="0" w:noHBand="0" w:noVBand="1" w:val="04A0"/>
        <w:jc w:val="left"/>
        <w:tblInd w:w="120" w:type="dxa"/>
      </w:tblPr>
      <w:tblGrid>
        <w:gridCol w:w="2824"/>
        <w:gridCol w:w="3268"/>
        <w:gridCol w:w="3268"/>
      </w:tblGrid>
      <w:tr>
        <w:trPr>
          <w:tblHeader w:val="true"/>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Vendor-specific capability</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Main risk</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Open alternative / migration control</w:t>
            </w:r>
          </w:p>
        </w:tc>
      </w:tr>
      <w:tr>
        <w:trPr>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Bedrock</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Per-token cost, quotas, regional/model availability</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DejaVu Sans Mono" w:hAnsi="DejaVu Sans Mono" w:eastAsia="DejaVu Sans Mono" w:cs="DejaVu Sans Mono"/>
                <w:color w:val="1F4D78"/>
                <w:sz w:val="16"/>
                <w:shd w:fill="F2F4F7"/>
              </w:rPr>
              <w:t>LLMProvider</w:t>
            </w:r>
            <w:r>
              <w:rPr>
                <w:rFonts w:ascii="Calibri" w:hAnsi="Calibri" w:eastAsia="Calibri" w:cs="Calibri"/>
                <w:b w:val="0"/>
                <w:i w:val="0"/>
                <w:color w:val="0B2545"/>
                <w:sz w:val="17"/>
              </w:rPr>
              <w:t xml:space="preserve"> interface; SageMaker or approved external/local model adapter.</w:t>
            </w:r>
          </w:p>
        </w:tc>
      </w:tr>
      <w:tr>
        <w:trPr>
          <w:cantSplit w:val="true"/>
        </w:trPr>
        <w:tc>
          <w:tcPr>
            <w:tcW w:type="dxa" w:w="282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OpenSearch</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Managed cluster/serverless cost and AWS coupling</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DejaVu Sans Mono" w:hAnsi="DejaVu Sans Mono" w:eastAsia="DejaVu Sans Mono" w:cs="DejaVu Sans Mono"/>
                <w:color w:val="1F4D78"/>
                <w:sz w:val="16"/>
                <w:shd w:fill="F2F4F7"/>
              </w:rPr>
              <w:t>VectorStore</w:t>
            </w:r>
            <w:r>
              <w:rPr>
                <w:rFonts w:ascii="Calibri" w:hAnsi="Calibri" w:eastAsia="Calibri" w:cs="Calibri"/>
                <w:b w:val="0"/>
                <w:i w:val="0"/>
                <w:color w:val="0B2545"/>
                <w:sz w:val="17"/>
              </w:rPr>
              <w:t xml:space="preserve"> contract; Qdrant/Milvus/Weaviate export/re-index pipeline.</w:t>
            </w:r>
          </w:p>
        </w:tc>
      </w:tr>
      <w:tr>
        <w:trPr>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SageMaker</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Endpoint idle/GPU cost and AWS-specific deployment</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MLflow + Ray Serve/Triton on EKS; retain OCI image and model artifacts.</w:t>
            </w:r>
          </w:p>
        </w:tc>
      </w:tr>
      <w:tr>
        <w:trPr>
          <w:cantSplit w:val="true"/>
        </w:trPr>
        <w:tc>
          <w:tcPr>
            <w:tcW w:type="dxa" w:w="282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LangSmith</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Prompt/trace data could leave your boundary; license/cost</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OTel + Jaeger/Prometheus/Grafana; disable content tracing and export redacted metadata.</w:t>
            </w:r>
          </w:p>
        </w:tc>
      </w:tr>
      <w:tr>
        <w:trPr>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Pinecone/managed vector SaaS</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Residency, egress, per-operation cost, vendor exit</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Qdrant/Milvus/OpenSearch adapter and corpus re-index job.</w:t>
            </w:r>
          </w:p>
        </w:tc>
      </w:tr>
      <w:tr>
        <w:trPr>
          <w:cantSplit w:val="true"/>
        </w:trPr>
        <w:tc>
          <w:tcPr>
            <w:tcW w:type="dxa" w:w="2824"/>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Arize/WhyLabs/Fiddler/Datadog/New Relic</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Telemetry may contain sensitive content; ingest/license cost</w:t>
            </w:r>
          </w:p>
        </w:tc>
        <w:tc>
          <w:tcPr>
            <w:tcW w:type="dxa" w:w="3268"/>
            <w:shd w:fill="F8FAFC"/>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OTel plus self-hosted Prometheus/Grafana/Jaeger; content-redaction policy.</w:t>
            </w:r>
          </w:p>
        </w:tc>
      </w:tr>
    </w:tbl>
    <w:p>
      <w:pPr>
        <w:spacing w:before="0" w:after="20" w:line="240" w:lineRule="auto"/>
      </w:pPr>
    </w:p>
    <w:p>
      <w:r>
        <w:br w:type="page"/>
      </w:r>
    </w:p>
    <w:p>
      <w:pPr>
        <w:spacing w:before="0" w:after="0" w:line="240" w:lineRule="auto"/>
      </w:pPr>
      <w:r>
        <w:rPr>
          <w:rFonts w:ascii="Calibri" w:hAnsi="Calibri" w:eastAsia="Calibri" w:cs="Calibri"/>
          <w:color w:val="FFFFFF"/>
          <w:sz w:val="96"/>
        </w:rPr>
        <w:t xml:space="preserve"> </w:t>
      </w:r>
    </w:p>
    <w:p>
      <w:pPr>
        <w:spacing w:before="0" w:after="160" w:line="240" w:lineRule="auto"/>
      </w:pPr>
      <w:r>
        <w:rPr>
          <w:rFonts w:ascii="Calibri" w:hAnsi="Calibri" w:eastAsia="Calibri" w:cs="Calibri"/>
          <w:b/>
          <w:color w:val="1F4D78"/>
          <w:sz w:val="23"/>
        </w:rPr>
        <w:t>Table continued</w:t>
      </w:r>
    </w:p>
    <w:tbl>
      <w:tblPr>
        <w:tblW w:type="dxa" w:w="9360"/>
        <w:tblLayout w:type="fixed"/>
        <w:tblLook w:firstColumn="1" w:firstRow="1" w:lastColumn="0" w:lastRow="0" w:noHBand="0" w:noVBand="1" w:val="04A0"/>
        <w:jc w:val="left"/>
        <w:tblInd w:w="120" w:type="dxa"/>
      </w:tblPr>
      <w:tblGrid>
        <w:gridCol w:w="2824"/>
        <w:gridCol w:w="3268"/>
        <w:gridCol w:w="3268"/>
      </w:tblGrid>
      <w:tr>
        <w:trPr>
          <w:tblHeader w:val="true"/>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Vendor-specific capability</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Main risk</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shd w:fill="E8EEF5"/>
          </w:tcPr>
          <w:p>
            <w:pPr>
              <w:spacing w:before="0" w:after="0" w:line="240" w:lineRule="auto"/>
              <w:jc w:val="left"/>
            </w:pPr>
            <w:r>
              <w:rPr>
                <w:rFonts w:ascii="Calibri" w:hAnsi="Calibri" w:eastAsia="Calibri" w:cs="Calibri"/>
                <w:b/>
                <w:i w:val="0"/>
                <w:color w:val="0B2545"/>
                <w:sz w:val="17"/>
              </w:rPr>
              <w:t>Open alternative / migration control</w:t>
            </w:r>
          </w:p>
        </w:tc>
      </w:tr>
      <w:tr>
        <w:trPr>
          <w:cantSplit w:val="true"/>
        </w:trPr>
        <w:tc>
          <w:tcPr>
            <w:tcW w:type="dxa" w:w="2824"/>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External LLM/embedding APIs</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Data processing/storage/residency and egress</w:t>
            </w:r>
          </w:p>
        </w:tc>
        <w:tc>
          <w:tcPr>
            <w:tcW w:type="dxa" w:w="3268"/>
            <w:tcMar>
              <w:top w:w="80" w:type="dxa"/>
              <w:bottom w:w="80" w:type="dxa"/>
              <w:start w:w="120" w:type="dxa"/>
              <w:end w:w="120" w:type="dxa"/>
            </w:tcMar>
            <w:tcBorders>
              <w:top w:val="single" w:sz="5" w:space="0" w:color="B8C5D1"/>
              <w:start w:val="single" w:sz="5" w:space="0" w:color="B8C5D1"/>
              <w:bottom w:val="single" w:sz="5" w:space="0" w:color="B8C5D1"/>
              <w:end w:val="single" w:sz="5" w:space="0" w:color="B8C5D1"/>
              <w:insideH w:val="single" w:sz="5" w:space="0" w:color="B8C5D1"/>
              <w:insideV w:val="single" w:sz="5" w:space="0" w:color="B8C5D1"/>
            </w:tcBorders>
            <w:vAlign w:val="top"/>
          </w:tcPr>
          <w:p>
            <w:pPr>
              <w:spacing w:before="0" w:after="0" w:line="259" w:lineRule="auto"/>
              <w:jc w:val="left"/>
            </w:pPr>
            <w:r>
              <w:rPr>
                <w:rFonts w:ascii="Calibri" w:hAnsi="Calibri" w:eastAsia="Calibri" w:cs="Calibri"/>
                <w:b w:val="0"/>
                <w:i w:val="0"/>
                <w:color w:val="0B2545"/>
                <w:sz w:val="17"/>
              </w:rPr>
              <w:t xml:space="preserve">Bedrock/SageMaker/local adapter; approved regions, </w:t>
            </w:r>
            <w:r>
              <w:rPr>
                <w:rFonts w:ascii="DejaVu Sans Mono" w:hAnsi="DejaVu Sans Mono" w:eastAsia="DejaVu Sans Mono" w:cs="DejaVu Sans Mono"/>
                <w:color w:val="1F4D78"/>
                <w:sz w:val="16"/>
                <w:shd w:fill="F2F4F7"/>
              </w:rPr>
              <w:t>store=false</w:t>
            </w:r>
            <w:r>
              <w:rPr>
                <w:rFonts w:ascii="Calibri" w:hAnsi="Calibri" w:eastAsia="Calibri" w:cs="Calibri"/>
                <w:b w:val="0"/>
                <w:i w:val="0"/>
                <w:color w:val="0B2545"/>
                <w:sz w:val="17"/>
              </w:rPr>
              <w:t xml:space="preserve"> where applicable, DPA and classification rules.</w:t>
            </w:r>
          </w:p>
        </w:tc>
      </w:tr>
    </w:tbl>
    <w:p>
      <w:pPr>
        <w:spacing w:before="0" w:after="20" w:line="240" w:lineRule="auto"/>
      </w:pPr>
    </w:p>
    <w:p>
      <w:pPr>
        <w:spacing w:before="0" w:after="120" w:line="300" w:lineRule="auto"/>
      </w:pPr>
      <w:r>
        <w:rPr>
          <w:rFonts w:ascii="Calibri" w:hAnsi="Calibri" w:eastAsia="Calibri" w:cs="Calibri"/>
          <w:b w:val="0"/>
          <w:i w:val="0"/>
          <w:color w:val="0B2545"/>
          <w:sz w:val="22"/>
        </w:rPr>
        <w:t>Before sending any production data to a SaaS service, confirm approved region, retention, training/use-of-data terms, encryption, sub-processors, deletion, audit, and tenant isolation. Record the decision in an ADR and cost model.</w:t>
      </w:r>
    </w:p>
    <w:p>
      <w:r>
        <w:br w:type="page"/>
      </w:r>
    </w:p>
    <w:p>
      <w:pPr>
        <w:spacing w:before="0" w:after="0" w:line="240" w:lineRule="auto"/>
      </w:pPr>
      <w:r>
        <w:rPr>
          <w:rFonts w:ascii="Calibri" w:hAnsi="Calibri" w:eastAsia="Calibri" w:cs="Calibri"/>
          <w:color w:val="FFFFFF"/>
          <w:sz w:val="96"/>
        </w:rPr>
        <w:t xml:space="preserve"> </w:t>
      </w:r>
    </w:p>
    <w:p>
      <w:pPr>
        <w:pStyle w:val="Heading1"/>
      </w:pPr>
      <w:r>
        <w:t>Next Steps &amp; Quick Wins</w:t>
      </w:r>
    </w:p>
    <w:p>
      <w:pPr>
        <w:pStyle w:val="Heading2"/>
      </w:pPr>
      <w:r>
        <w:t>First 90 minutes</w:t>
      </w:r>
    </w:p>
    <w:p>
      <w:pPr>
        <w:spacing w:before="0" w:after="80" w:line="300" w:lineRule="auto"/>
        <w:numPr>
          <w:ilvl w:val="0"/>
          <w:numId w:val="29"/>
        </w:numPr>
      </w:pPr>
      <w:r>
        <w:rPr>
          <w:rFonts w:ascii="Calibri" w:hAnsi="Calibri" w:eastAsia="Calibri" w:cs="Calibri"/>
          <w:b w:val="0"/>
          <w:i w:val="0"/>
          <w:color w:val="0B2545"/>
          <w:sz w:val="22"/>
        </w:rPr>
        <w:t>Create the repo and copy the skeleton.</w:t>
      </w:r>
    </w:p>
    <w:p>
      <w:pPr>
        <w:spacing w:before="0" w:after="80" w:line="300" w:lineRule="auto"/>
        <w:numPr>
          <w:ilvl w:val="0"/>
          <w:numId w:val="29"/>
        </w:numPr>
      </w:pPr>
      <w:r>
        <w:rPr>
          <w:rFonts w:ascii="Calibri" w:hAnsi="Calibri" w:eastAsia="Calibri" w:cs="Calibri"/>
          <w:b w:val="0"/>
          <w:i w:val="0"/>
          <w:color w:val="0B2545"/>
          <w:sz w:val="22"/>
        </w:rPr>
        <w:t>Fill only these TODOs: AWS region, sandbox account, GitHub repository, local embedding model, and sample data classification.</w:t>
      </w:r>
    </w:p>
    <w:p>
      <w:pPr>
        <w:spacing w:before="0" w:after="80" w:line="300" w:lineRule="auto"/>
        <w:numPr>
          <w:ilvl w:val="0"/>
          <w:numId w:val="29"/>
        </w:numPr>
      </w:pPr>
      <w:r>
        <w:rPr>
          <w:rFonts w:ascii="Calibri" w:hAnsi="Calibri" w:eastAsia="Calibri" w:cs="Calibri"/>
          <w:b w:val="0"/>
          <w:i w:val="0"/>
          <w:color w:val="0B2545"/>
          <w:sz w:val="22"/>
        </w:rPr>
        <w:t xml:space="preserve">Give Codex </w:t>
      </w:r>
      <w:r>
        <w:rPr>
          <w:rFonts w:ascii="Calibri" w:hAnsi="Calibri" w:eastAsia="Calibri" w:cs="Calibri"/>
          <w:b/>
          <w:i w:val="0"/>
          <w:color w:val="0B2545"/>
          <w:sz w:val="22"/>
        </w:rPr>
        <w:t>Prompt 1</w:t>
      </w:r>
      <w:r>
        <w:rPr>
          <w:rFonts w:ascii="Calibri" w:hAnsi="Calibri" w:eastAsia="Calibri" w:cs="Calibri"/>
          <w:b w:val="0"/>
          <w:i w:val="0"/>
          <w:color w:val="0B2545"/>
          <w:sz w:val="22"/>
        </w:rPr>
        <w:t>, review the diff, and run the config test.</w:t>
      </w:r>
    </w:p>
    <w:p>
      <w:pPr>
        <w:spacing w:before="0" w:after="80" w:line="300" w:lineRule="auto"/>
        <w:numPr>
          <w:ilvl w:val="0"/>
          <w:numId w:val="29"/>
        </w:numPr>
      </w:pPr>
      <w:r>
        <w:rPr>
          <w:rFonts w:ascii="Calibri" w:hAnsi="Calibri" w:eastAsia="Calibri" w:cs="Calibri"/>
          <w:b w:val="0"/>
          <w:i w:val="0"/>
          <w:color w:val="0B2545"/>
          <w:sz w:val="22"/>
        </w:rPr>
        <w:t xml:space="preserve">Start Qdrant and give Codex </w:t>
      </w:r>
      <w:r>
        <w:rPr>
          <w:rFonts w:ascii="Calibri" w:hAnsi="Calibri" w:eastAsia="Calibri" w:cs="Calibri"/>
          <w:b/>
          <w:i w:val="0"/>
          <w:color w:val="0B2545"/>
          <w:sz w:val="22"/>
        </w:rPr>
        <w:t>Prompt 2</w:t>
      </w:r>
      <w:r>
        <w:rPr>
          <w:rFonts w:ascii="Calibri" w:hAnsi="Calibri" w:eastAsia="Calibri" w:cs="Calibri"/>
          <w:b w:val="0"/>
          <w:i w:val="0"/>
          <w:color w:val="0B2545"/>
          <w:sz w:val="22"/>
        </w:rPr>
        <w:t xml:space="preserve">, then </w:t>
      </w:r>
      <w:r>
        <w:rPr>
          <w:rFonts w:ascii="Calibri" w:hAnsi="Calibri" w:eastAsia="Calibri" w:cs="Calibri"/>
          <w:b/>
          <w:i w:val="0"/>
          <w:color w:val="0B2545"/>
          <w:sz w:val="22"/>
        </w:rPr>
        <w:t>Prompt 3</w:t>
      </w:r>
      <w:r>
        <w:rPr>
          <w:rFonts w:ascii="Calibri" w:hAnsi="Calibri" w:eastAsia="Calibri" w:cs="Calibri"/>
          <w:b w:val="0"/>
          <w:i w:val="0"/>
          <w:color w:val="0B2545"/>
          <w:sz w:val="22"/>
        </w:rPr>
        <w:t>.</w:t>
      </w:r>
    </w:p>
    <w:p>
      <w:pPr>
        <w:spacing w:before="0" w:after="80" w:line="300" w:lineRule="auto"/>
        <w:numPr>
          <w:ilvl w:val="0"/>
          <w:numId w:val="29"/>
        </w:numPr>
      </w:pPr>
      <w:r>
        <w:rPr>
          <w:rFonts w:ascii="Calibri" w:hAnsi="Calibri" w:eastAsia="Calibri" w:cs="Calibri"/>
          <w:b w:val="0"/>
          <w:i w:val="0"/>
          <w:color w:val="0B2545"/>
          <w:sz w:val="22"/>
        </w:rPr>
        <w:t>Create ten small non-sensitive sample documents and ten expected retrieval questions.</w:t>
      </w:r>
    </w:p>
    <w:p>
      <w:pPr>
        <w:pStyle w:val="Heading2"/>
      </w:pPr>
      <w:r>
        <w:t>First checkpoint questions</w:t>
      </w:r>
    </w:p>
    <w:p>
      <w:pPr>
        <w:spacing w:before="0" w:after="120" w:line="300" w:lineRule="auto"/>
      </w:pPr>
      <w:r>
        <w:rPr>
          <w:rFonts w:ascii="Calibri" w:hAnsi="Calibri" w:eastAsia="Calibri" w:cs="Calibri"/>
          <w:b w:val="0"/>
          <w:i w:val="0"/>
          <w:color w:val="0B2545"/>
          <w:sz w:val="22"/>
        </w:rPr>
        <w:t>You should be able to answer these without notes before proceeding to agents:</w:t>
      </w:r>
    </w:p>
    <w:p>
      <w:pPr>
        <w:spacing w:before="0" w:after="80" w:line="300" w:lineRule="auto"/>
        <w:numPr>
          <w:ilvl w:val="0"/>
          <w:numId w:val="30"/>
        </w:numPr>
      </w:pPr>
      <w:r>
        <w:rPr>
          <w:rFonts w:ascii="Calibri" w:hAnsi="Calibri" w:eastAsia="Calibri" w:cs="Calibri"/>
          <w:b w:val="0"/>
          <w:i w:val="0"/>
          <w:color w:val="0B2545"/>
          <w:sz w:val="22"/>
        </w:rPr>
        <w:t>Why is document authorization a retriever concern, not a prompt instruction?</w:t>
      </w:r>
    </w:p>
    <w:p>
      <w:pPr>
        <w:spacing w:before="0" w:after="80" w:line="300" w:lineRule="auto"/>
        <w:numPr>
          <w:ilvl w:val="0"/>
          <w:numId w:val="30"/>
        </w:numPr>
      </w:pPr>
      <w:r>
        <w:rPr>
          <w:rFonts w:ascii="Calibri" w:hAnsi="Calibri" w:eastAsia="Calibri" w:cs="Calibri"/>
          <w:b w:val="0"/>
          <w:i w:val="0"/>
          <w:color w:val="0B2545"/>
          <w:sz w:val="22"/>
        </w:rPr>
        <w:t>What breaks if an embedding model changes but the index is not rebuilt?</w:t>
      </w:r>
    </w:p>
    <w:p>
      <w:pPr>
        <w:spacing w:before="0" w:after="80" w:line="300" w:lineRule="auto"/>
        <w:numPr>
          <w:ilvl w:val="0"/>
          <w:numId w:val="30"/>
        </w:numPr>
      </w:pPr>
      <w:r>
        <w:rPr>
          <w:rFonts w:ascii="Calibri" w:hAnsi="Calibri" w:eastAsia="Calibri" w:cs="Calibri"/>
          <w:b w:val="0"/>
          <w:i w:val="0"/>
          <w:color w:val="0B2545"/>
          <w:sz w:val="22"/>
        </w:rPr>
        <w:t>How do recall@5, citation precision, faithfulness, latency, and cost differ?</w:t>
      </w:r>
    </w:p>
    <w:p>
      <w:pPr>
        <w:spacing w:before="0" w:after="80" w:line="300" w:lineRule="auto"/>
        <w:numPr>
          <w:ilvl w:val="0"/>
          <w:numId w:val="30"/>
        </w:numPr>
      </w:pPr>
      <w:r>
        <w:rPr>
          <w:rFonts w:ascii="Calibri" w:hAnsi="Calibri" w:eastAsia="Calibri" w:cs="Calibri"/>
          <w:b w:val="0"/>
          <w:i w:val="0"/>
          <w:color w:val="0B2545"/>
          <w:sz w:val="22"/>
        </w:rPr>
        <w:t>When should the system abstain?</w:t>
      </w:r>
    </w:p>
    <w:p>
      <w:pPr>
        <w:spacing w:before="0" w:after="80" w:line="300" w:lineRule="auto"/>
        <w:numPr>
          <w:ilvl w:val="0"/>
          <w:numId w:val="30"/>
        </w:numPr>
      </w:pPr>
      <w:r>
        <w:rPr>
          <w:rFonts w:ascii="Calibri" w:hAnsi="Calibri" w:eastAsia="Calibri" w:cs="Calibri"/>
          <w:b w:val="0"/>
          <w:i w:val="0"/>
          <w:color w:val="0B2545"/>
          <w:sz w:val="22"/>
        </w:rPr>
        <w:t>Why is a deterministic graph with a bounded LLM node safer than an open-ended agent loop?</w:t>
      </w:r>
    </w:p>
    <w:p>
      <w:pPr>
        <w:spacing w:before="0" w:after="80" w:line="300" w:lineRule="auto"/>
        <w:numPr>
          <w:ilvl w:val="0"/>
          <w:numId w:val="30"/>
        </w:numPr>
      </w:pPr>
      <w:r>
        <w:rPr>
          <w:rFonts w:ascii="Calibri" w:hAnsi="Calibri" w:eastAsia="Calibri" w:cs="Calibri"/>
          <w:b w:val="0"/>
          <w:i w:val="0"/>
          <w:color w:val="0B2545"/>
          <w:sz w:val="22"/>
        </w:rPr>
        <w:t>Which data is safe to put in logs/traces, and which is prohibited?</w:t>
      </w:r>
    </w:p>
    <w:p>
      <w:pPr>
        <w:spacing w:before="0" w:after="80" w:line="300" w:lineRule="auto"/>
        <w:numPr>
          <w:ilvl w:val="0"/>
          <w:numId w:val="30"/>
        </w:numPr>
      </w:pPr>
      <w:r>
        <w:rPr>
          <w:rFonts w:ascii="Calibri" w:hAnsi="Calibri" w:eastAsia="Calibri" w:cs="Calibri"/>
          <w:b w:val="0"/>
          <w:i w:val="0"/>
          <w:color w:val="0B2545"/>
          <w:sz w:val="22"/>
        </w:rPr>
        <w:t>What must be rolled back together: app, graph, prompt, model, embedding, index, and evaluation baseline?</w:t>
      </w:r>
    </w:p>
    <w:p>
      <w:pPr>
        <w:pStyle w:val="Heading2"/>
      </w:pPr>
      <w:r>
        <w:t>Definition of done command sheet</w:t>
      </w:r>
    </w:p>
    <w:p>
      <w:pPr>
        <w:keepNext/>
        <w:spacing w:before="20" w:after="0" w:line="240" w:lineRule="auto"/>
        <w:ind w:left="115" w:right="115"/>
        <w:shd w:fill="0B2545"/>
        <w:pBdr>
          <w:top w:val="single" w:sz="6" w:space="0" w:color="0B2545"/>
          <w:start w:val="single" w:sz="6" w:space="0" w:color="0B2545"/>
          <w:bottom w:val="single" w:sz="6" w:space="0" w:color="0B2545"/>
          <w:end w:val="single" w:sz="6" w:space="0" w:color="0B2545"/>
        </w:pBdr>
      </w:pPr>
      <w:r>
        <w:rPr>
          <w:rFonts w:ascii="Calibri" w:hAnsi="Calibri" w:eastAsia="Calibri" w:cs="Calibri"/>
          <w:b/>
          <w:color w:val="FFFFFF"/>
          <w:sz w:val="16"/>
        </w:rPr>
        <w:t>BASH</w:t>
      </w:r>
    </w:p>
    <w:p>
      <w:pPr>
        <w:pStyle w:val="CodeBlock"/>
        <w:spacing w:before="0" w:after="0" w:line="240" w:lineRule="auto"/>
        <w:ind w:left="115" w:right="115"/>
        <w:shd w:fill="F6F8FA"/>
        <w:pBdr>
          <w:start w:val="single" w:sz="5" w:space="0" w:color="CBD5E1"/>
          <w:end w:val="single" w:sz="5" w:space="0" w:color="CBD5E1"/>
          <w:top w:val="single" w:sz="5" w:space="0" w:color="CBD5E1"/>
        </w:pBdr>
      </w:pPr>
      <w:r>
        <w:rPr>
          <w:rFonts w:ascii="DejaVu Sans Mono" w:hAnsi="DejaVu Sans Mono" w:eastAsia="DejaVu Sans Mono" w:cs="DejaVu Sans Mono"/>
          <w:color w:val="0B2545"/>
          <w:sz w:val="14"/>
        </w:rPr>
        <w:t>python -m venv .venv</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source .venv/bin/activate</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pip install -r requirements.txt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docker compose up -d qdrant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python -m enterprise_ai.ingestion.pipeline ingest --source data/sample --tenant demo</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python -m enterprise_ai.rag.pipeline "TODO_SAMPLE_QUESTION"</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pytest tests/unit -q</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terraform -chdir=infra/environments/sandbox init</w:t>
      </w:r>
    </w:p>
    <w:p>
      <w:pPr>
        <w:pStyle w:val="CodeBlock"/>
        <w:spacing w:before="0" w:after="0" w:line="240" w:lineRule="auto"/>
        <w:ind w:left="115" w:right="115"/>
        <w:shd w:fill="F6F8FA"/>
        <w:pBdr>
          <w:start w:val="single" w:sz="5" w:space="0" w:color="CBD5E1"/>
          <w:end w:val="single" w:sz="5" w:space="0" w:color="CBD5E1"/>
        </w:pBdr>
      </w:pPr>
      <w:r>
        <w:rPr>
          <w:rFonts w:ascii="DejaVu Sans Mono" w:hAnsi="DejaVu Sans Mono" w:eastAsia="DejaVu Sans Mono" w:cs="DejaVu Sans Mono"/>
          <w:color w:val="0B2545"/>
          <w:sz w:val="14"/>
        </w:rPr>
        <w:t>terraform -chdir=infra/environments/sandbox validate</w:t>
      </w:r>
    </w:p>
    <w:p>
      <w:pPr>
        <w:pStyle w:val="CodeBlock"/>
        <w:spacing w:before="0" w:after="0" w:line="240" w:lineRule="auto"/>
        <w:ind w:left="115" w:right="115"/>
        <w:shd w:fill="F6F8FA"/>
        <w:pBdr>
          <w:start w:val="single" w:sz="5" w:space="0" w:color="CBD5E1"/>
          <w:end w:val="single" w:sz="5" w:space="0" w:color="CBD5E1"/>
          <w:bottom w:val="single" w:sz="5" w:space="0" w:color="CBD5E1"/>
        </w:pBdr>
      </w:pPr>
      <w:r>
        <w:rPr>
          <w:rFonts w:ascii="DejaVu Sans Mono" w:hAnsi="DejaVu Sans Mono" w:eastAsia="DejaVu Sans Mono" w:cs="DejaVu Sans Mono"/>
          <w:color w:val="0B2545"/>
          <w:sz w:val="14"/>
        </w:rPr>
        <w:t>terraform -chdir=infra/environments/sandbox plan</w:t>
      </w:r>
    </w:p>
    <w:p>
      <w:pPr>
        <w:spacing w:before="0" w:after="20" w:line="240" w:lineRule="auto"/>
      </w:pPr>
    </w:p>
    <w:p>
      <w:pPr>
        <w:spacing w:before="0" w:after="120" w:line="300" w:lineRule="auto"/>
      </w:pPr>
      <w:r>
        <w:rPr>
          <w:rFonts w:ascii="Calibri" w:hAnsi="Calibri" w:eastAsia="Calibri" w:cs="Calibri"/>
          <w:b w:val="0"/>
          <w:i w:val="0"/>
          <w:color w:val="0B2545"/>
          <w:sz w:val="22"/>
        </w:rPr>
        <w:t xml:space="preserve">Do not run </w:t>
      </w:r>
      <w:r>
        <w:rPr>
          <w:rFonts w:ascii="DejaVu Sans Mono" w:hAnsi="DejaVu Sans Mono" w:eastAsia="DejaVu Sans Mono" w:cs="DejaVu Sans Mono"/>
          <w:color w:val="1F4D78"/>
          <w:sz w:val="21"/>
          <w:shd w:fill="F2F4F7"/>
        </w:rPr>
        <w:t>terraform apply</w:t>
      </w:r>
      <w:r>
        <w:rPr>
          <w:rFonts w:ascii="Calibri" w:hAnsi="Calibri" w:eastAsia="Calibri" w:cs="Calibri"/>
          <w:b w:val="0"/>
          <w:i w:val="0"/>
          <w:color w:val="0B2545"/>
          <w:sz w:val="22"/>
        </w:rPr>
        <w:t xml:space="preserve"> until you have reviewed the plan, IAM scope, network placement, data residency, and expected monthly cost.</w:t>
      </w:r>
    </w:p>
    <w:sectPr w:rsidR="00FC693F" w:rsidRPr="0006063C" w:rsidSect="00034616">
      <w:headerReference w:type="default" r:id="rId15"/>
      <w:headerReference w:type="first" r:id="rId16"/>
      <w:headerReference w:type="even" r:id="rId17"/>
      <w:footerReference w:type="default" r:id="rId18"/>
      <w:footerReference w:type="first" r:id="rId19"/>
      <w:footerReference w:type="even" r:id="rId2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B6573"/>
        <w:sz w:val="17"/>
      </w:rPr>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B6573"/>
        <w:sz w:val="17"/>
      </w:rPr>
      <w:t xml:space="preserve">Page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B6573"/>
        <w:sz w:val="17"/>
      </w:rPr>
      <w:t>Enterprise AI Architecture  |  Coaching Blueprint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B6573"/>
        <w:sz w:val="17"/>
      </w:rPr>
      <w:t>Enterprise AI Architecture  |  Coaching Blueprint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B6573"/>
        <w:sz w:val="17"/>
      </w:rPr>
      <w:t>Enterprise AI Architecture  |  Coaching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B20009"/>
    <w:multiLevelType w:val="singleLevel"/>
    <w:lvl w:ilvl="0">
      <w:start w:val="1"/>
      <w:numFmt w:val="bullet"/>
      <w:lvlText w:val="•"/>
      <w:suff w:val="tab"/>
      <w:lvlJc w:val="left"/>
      <w:pPr>
        <w:tabs>
          <w:tab w:val="num" w:pos="540"/>
        </w:tabs>
        <w:ind w:left="540" w:hanging="270"/>
        <w:spacing w:after="80" w:line="300" w:lineRule="auto"/>
      </w:pPr>
      <w:rPr>
        <w:rFonts w:ascii="Calibri" w:hAnsi="Calibri"/>
        <w:color w:val="2E74B5"/>
      </w:rPr>
    </w:lvl>
  </w:abstractNum>
  <w:abstractNum w:abstractNumId="10">
    <w:nsid w:val="A1B2000A"/>
    <w:multiLevelType w:val="singleLevel"/>
    <w:lvl w:ilvl="0">
      <w:start w:val="1"/>
      <w:numFmt w:val="decimal"/>
      <w:lvlText w:val="%1."/>
      <w:suff w:val="tab"/>
      <w:lvlJc w:val="left"/>
      <w:pPr>
        <w:tabs>
          <w:tab w:val="num" w:pos="540"/>
        </w:tabs>
        <w:ind w:left="540" w:hanging="270"/>
        <w:spacing w:after="80" w:line="300" w:lineRule="auto"/>
      </w:pPr>
      <w:rPr>
        <w:rFonts w:ascii="Calibri" w:hAnsi="Calibri"/>
        <w:color w:val="1F4D78"/>
      </w:r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DejaVu Sans Mono" w:hAnsi="DejaVu Sans Mono"/>
      <w:color w:val="0B2545"/>
      <w:sz w:val="14"/>
    </w:rPr>
  </w:style>
  <w:style w:type="paragraph" w:customStyle="1" w:styleId="FigureCaption">
    <w:name w:val="Figure Caption"/>
    <w:pPr>
      <w:keepNext w:val="0"/>
      <w:spacing w:before="60" w:after="160"/>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yperlink" Target="https://docs.aws.amazon.com/bedrock/latest/userguide/knowledge-base.html" TargetMode="External"/><Relationship Id="rId23" Type="http://schemas.openxmlformats.org/officeDocument/2006/relationships/hyperlink" Target="https://docs.langchain.com/oss/python/langgraph/overview" TargetMode="External"/><Relationship Id="rId24" Type="http://schemas.openxmlformats.org/officeDocument/2006/relationships/hyperlink" Target="https://docs.langchain.com/oss/python/langgraph/interrupts" TargetMode="External"/><Relationship Id="rId25" Type="http://schemas.openxmlformats.org/officeDocument/2006/relationships/hyperlink" Target="https://qdrant.tech/documentation/quickstart/" TargetMode="External"/><Relationship Id="rId26" Type="http://schemas.openxmlformats.org/officeDocument/2006/relationships/hyperlink" Target="https://docs.aws.amazon.com/opensearch-service/latest/developerguide/knn.html" TargetMode="External"/><Relationship Id="rId27" Type="http://schemas.openxmlformats.org/officeDocument/2006/relationships/hyperlink" Target="https://docs.aws.amazon.com/opensearch-service/latest/developerguide/fgac.html" TargetMode="External"/><Relationship Id="rId28" Type="http://schemas.openxmlformats.org/officeDocument/2006/relationships/hyperlink" Target="https://docs.ragas.io/en/stable/getstarted/rag_eval/" TargetMode="External"/><Relationship Id="rId29" Type="http://schemas.openxmlformats.org/officeDocument/2006/relationships/hyperlink" Target="https://opentelemetry.io/docs/languages/python/getting-started/" TargetMode="External"/><Relationship Id="rId30" Type="http://schemas.openxmlformats.org/officeDocument/2006/relationships/hyperlink" Target="https://openpolicyagent.org/docs/terraform" TargetMode="External"/><Relationship Id="rId31" Type="http://schemas.openxmlformats.org/officeDocument/2006/relationships/hyperlink" Target="https://openpolicyagent.org/docs/policy-testing" TargetMode="External"/><Relationship Id="rId32" Type="http://schemas.openxmlformats.org/officeDocument/2006/relationships/hyperlink" Target="https://www.checkov.io/3.Custom%20Policies/Custom%20Policies%20Overview.html" TargetMode="External"/><Relationship Id="rId33" Type="http://schemas.openxmlformats.org/officeDocument/2006/relationships/hyperlink" Target="https://docs.github.com/actions/deployment/security-hardening-your-deployments/configuring-openid-connect-in-amazon-web-services" TargetMode="External"/><Relationship Id="rId34" Type="http://schemas.openxmlformats.org/officeDocument/2006/relationships/hyperlink" Target="https://docs.pytorch.org/tutorials/index.html" TargetMode="External"/><Relationship Id="rId35" Type="http://schemas.openxmlformats.org/officeDocument/2006/relationships/hyperlink" Target="https://huggingface.co/docs/peft/index" TargetMode="External"/><Relationship Id="rId36" Type="http://schemas.openxmlformats.org/officeDocument/2006/relationships/hyperlink" Target="https://huggingface.co/docs/peft/package_reference/lora" TargetMode="External"/><Relationship Id="rId37" Type="http://schemas.openxmlformats.org/officeDocument/2006/relationships/hyperlink" Target="https://microsoft.github.io/autogen/stable/user-guide/agentchat-user-guide/index.html" TargetMode="External"/><Relationship Id="rId38" Type="http://schemas.openxmlformats.org/officeDocument/2006/relationships/hyperlink" Target="https://microsoft.github.io/autogen/stable/user-guide/autogenstudio-user-guide/index.html" TargetMode="External"/><Relationship Id="rId39" Type="http://schemas.openxmlformats.org/officeDocument/2006/relationships/hyperlink" Target="https://docs.aws.amazon.com/sagemaker/latest/dg/model-registry.html" TargetMode="External"/><Relationship Id="rId40" Type="http://schemas.openxmlformats.org/officeDocument/2006/relationships/hyperlink" Target="https://docs.aws.amazon.com/fis/latest/userguide/what-is.html" TargetMode="External"/><Relationship Id="rId41" Type="http://schemas.openxmlformats.org/officeDocument/2006/relationships/hyperlink" Target="https://developers.openai.com/api/docs/assistants/mi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Architecture Coaching Blueprint</dc:title>
  <dc:subject>Enterprise RAG, LLM, agentic AI, AWS, SRE, and DevSecOps coaching blueprint</dc:subject>
  <dc:creator/>
  <cp:keywords>enterprise AI, RAG, LLM, agentic AI, AWS, EKS, DevSecOps, SRE</cp:keywords>
  <dc:description>Converted faithfully from the supplied Markdown source.</dc:description>
  <cp:lastModifiedBy/>
  <cp:revision>1</cp:revision>
  <dcterms:created xsi:type="dcterms:W3CDTF">2013-12-23T23:15:00Z</dcterms:created>
  <dcterms:modified xsi:type="dcterms:W3CDTF">2013-12-23T23:15:00Z</dcterms:modified>
  <cp:category/>
</cp:coreProperties>
</file>