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31" w:rsidRDefault="00F11E31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F11E31" w:rsidRDefault="00583DD4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6F01">
        <w:rPr>
          <w:rFonts w:ascii="Times New Roman" w:eastAsia="標楷體" w:hAnsi="Times New Roman" w:cs="Times New Roman"/>
          <w:b/>
          <w:bCs/>
          <w:sz w:val="28"/>
          <w:szCs w:val="28"/>
        </w:rPr>
        <w:t>初品放光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釋論第</w:t>
      </w:r>
      <w:r w:rsidRPr="00FB6F0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十四</w:t>
      </w:r>
      <w:r w:rsidRPr="00FB6F01">
        <w:rPr>
          <w:rFonts w:ascii="Times New Roman" w:eastAsia="標楷體" w:hAnsi="Times New Roman" w:cs="Roman Unicode"/>
          <w:b/>
          <w:bCs/>
          <w:sz w:val="28"/>
          <w:szCs w:val="28"/>
        </w:rPr>
        <w:t>之餘〉</w:t>
      </w:r>
    </w:p>
    <w:p w:rsidR="00F11E3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F11E31" w:rsidRDefault="00314910" w:rsidP="001E67A8">
      <w:pPr>
        <w:widowControl/>
        <w:spacing w:beforeLines="50" w:before="180"/>
        <w:jc w:val="both"/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</w:pPr>
      <w:r w:rsidRPr="00F11E31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參</w:t>
      </w:r>
      <w:r w:rsidR="00583DD4"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、佛</w:t>
      </w:r>
      <w:r w:rsidR="00583DD4"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八現神力</w:t>
      </w:r>
    </w:p>
    <w:p w:rsidR="00583DD4" w:rsidRPr="00F11E31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（</w:t>
      </w:r>
      <w:r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壹</w:t>
      </w: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）</w:t>
      </w:r>
      <w:r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出身分光</w:t>
      </w:r>
      <w:r w:rsidRPr="00F11E31">
        <w:rPr>
          <w:rFonts w:ascii="Times New Roman" w:eastAsia="新細明體" w:hAnsi="Times New Roman" w:cs="Times New Roman"/>
          <w:szCs w:val="20"/>
        </w:rPr>
        <w:t>（</w:t>
      </w:r>
      <w:r w:rsidR="00A06CFF" w:rsidRPr="00F11E31">
        <w:rPr>
          <w:rFonts w:ascii="Times New Roman" w:eastAsia="新細明體" w:hAnsi="Times New Roman" w:cs="Times New Roman"/>
          <w:szCs w:val="20"/>
        </w:rPr>
        <w:t>承上</w:t>
      </w:r>
      <w:r w:rsidRPr="00F11E31">
        <w:rPr>
          <w:rFonts w:ascii="Times New Roman" w:eastAsia="新細明體" w:hAnsi="Times New Roman" w:cs="Times New Roman"/>
          <w:szCs w:val="20"/>
        </w:rPr>
        <w:t>卷</w:t>
      </w:r>
      <w:r w:rsidRPr="00F11E31">
        <w:rPr>
          <w:rFonts w:ascii="Times New Roman" w:eastAsia="新細明體" w:hAnsi="Times New Roman" w:cs="Times New Roman"/>
          <w:szCs w:val="20"/>
        </w:rPr>
        <w:t>7</w:t>
      </w:r>
      <w:r w:rsidR="007E11A0" w:rsidRPr="00F11E31">
        <w:rPr>
          <w:rFonts w:ascii="Times New Roman" w:eastAsia="新細明體" w:hAnsi="Times New Roman" w:cs="Times New Roman"/>
          <w:szCs w:val="20"/>
        </w:rPr>
        <w:t>（</w:t>
      </w:r>
      <w:r w:rsidRPr="00F11E31">
        <w:rPr>
          <w:rFonts w:ascii="Times New Roman" w:eastAsia="新細明體" w:hAnsi="Times New Roman" w:cs="Times New Roman"/>
          <w:szCs w:val="20"/>
        </w:rPr>
        <w:t>大正</w:t>
      </w:r>
      <w:r w:rsidRPr="00F11E31">
        <w:rPr>
          <w:rFonts w:ascii="Times New Roman" w:eastAsia="新細明體" w:hAnsi="Times New Roman" w:cs="Times New Roman"/>
          <w:szCs w:val="20"/>
        </w:rPr>
        <w:t>25</w:t>
      </w:r>
      <w:r w:rsidRPr="00F11E31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113a</w:t>
        </w:r>
      </w:smartTag>
      <w:r w:rsidRPr="00F11E31">
        <w:rPr>
          <w:rFonts w:ascii="Times New Roman" w:eastAsia="新細明體" w:hAnsi="Times New Roman" w:cs="Times New Roman"/>
          <w:szCs w:val="20"/>
        </w:rPr>
        <w:t>9-114b19</w:t>
      </w:r>
      <w:r w:rsidR="007E11A0" w:rsidRPr="00F11E31">
        <w:rPr>
          <w:rFonts w:ascii="Times New Roman" w:eastAsia="新細明體" w:hAnsi="Times New Roman" w:cs="Times New Roman" w:hint="eastAsia"/>
          <w:szCs w:val="20"/>
        </w:rPr>
        <w:t>）</w:t>
      </w:r>
      <w:r w:rsidRPr="00F11E31">
        <w:rPr>
          <w:rFonts w:ascii="Times New Roman" w:eastAsia="新細明體" w:hAnsi="Times New Roman" w:cs="Times New Roman"/>
          <w:szCs w:val="20"/>
        </w:rPr>
        <w:t>）</w:t>
      </w:r>
    </w:p>
    <w:p w:rsidR="00583DD4" w:rsidRPr="00F11E31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（</w:t>
      </w:r>
      <w:r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貳</w:t>
      </w: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  <w:shd w:val="pct15" w:color="auto" w:fill="FFFFFF"/>
        </w:rPr>
        <w:t>）</w:t>
      </w:r>
      <w:r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  <w:shd w:val="pct15" w:color="auto" w:fill="FFFFFF"/>
        </w:rPr>
        <w:t>出毛孔光</w:t>
      </w:r>
      <w:r w:rsidR="00A06CFF" w:rsidRPr="00F11E31">
        <w:rPr>
          <w:rFonts w:ascii="Times New Roman" w:eastAsia="新細明體" w:hAnsi="Times New Roman" w:cs="Times New Roman"/>
          <w:szCs w:val="20"/>
        </w:rPr>
        <w:t>（承上</w:t>
      </w:r>
      <w:r w:rsidRPr="00F11E31">
        <w:rPr>
          <w:rFonts w:ascii="Times New Roman" w:eastAsia="新細明體" w:hAnsi="Times New Roman" w:cs="Times New Roman"/>
          <w:szCs w:val="20"/>
        </w:rPr>
        <w:t>卷</w:t>
      </w:r>
      <w:r w:rsidRPr="00F11E31">
        <w:rPr>
          <w:rFonts w:ascii="Times New Roman" w:eastAsia="新細明體" w:hAnsi="Times New Roman" w:cs="Times New Roman"/>
          <w:szCs w:val="20"/>
        </w:rPr>
        <w:t>7</w:t>
      </w:r>
      <w:r w:rsidR="007E11A0" w:rsidRPr="00F11E31">
        <w:rPr>
          <w:rFonts w:ascii="Times New Roman" w:eastAsia="新細明體" w:hAnsi="Times New Roman" w:cs="Times New Roman"/>
          <w:szCs w:val="20"/>
        </w:rPr>
        <w:t>（</w:t>
      </w:r>
      <w:r w:rsidRPr="00F11E31">
        <w:rPr>
          <w:rFonts w:ascii="Times New Roman" w:eastAsia="新細明體" w:hAnsi="Times New Roman" w:cs="Times New Roman"/>
          <w:szCs w:val="20"/>
        </w:rPr>
        <w:t>大正</w:t>
      </w:r>
      <w:r w:rsidRPr="00F11E31">
        <w:rPr>
          <w:rFonts w:ascii="Times New Roman" w:eastAsia="新細明體" w:hAnsi="Times New Roman" w:cs="Times New Roman"/>
          <w:szCs w:val="20"/>
        </w:rPr>
        <w:t>25</w:t>
      </w:r>
      <w:r w:rsidRPr="00F11E31">
        <w:rPr>
          <w:rFonts w:ascii="Times New Roman" w:eastAsia="新細明體" w:hAnsi="Times New Roman" w:cs="Times New Roman"/>
          <w:szCs w:val="20"/>
        </w:rPr>
        <w:t>，</w:t>
      </w:r>
      <w:r w:rsidRPr="00F11E31">
        <w:rPr>
          <w:rFonts w:ascii="Times New Roman" w:eastAsia="新細明體" w:hAnsi="Times New Roman" w:cs="Times New Roman"/>
          <w:szCs w:val="20"/>
        </w:rPr>
        <w:t>114b20-c1</w:t>
      </w:r>
      <w:r w:rsidR="007E11A0" w:rsidRPr="00F11E31">
        <w:rPr>
          <w:rFonts w:ascii="Times New Roman" w:eastAsia="新細明體" w:hAnsi="Times New Roman" w:cs="Times New Roman" w:hint="eastAsia"/>
          <w:szCs w:val="20"/>
        </w:rPr>
        <w:t>）</w:t>
      </w:r>
      <w:r w:rsidRPr="00F11E31">
        <w:rPr>
          <w:rFonts w:ascii="Times New Roman" w:eastAsia="新細明體" w:hAnsi="Times New Roman" w:cs="Times New Roman"/>
          <w:szCs w:val="20"/>
        </w:rPr>
        <w:t>）</w:t>
      </w:r>
    </w:p>
    <w:p w:rsidR="00F11E31" w:rsidRPr="00F11E31" w:rsidRDefault="00583DD4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</w:rPr>
        <w:t>（</w:t>
      </w:r>
      <w:r w:rsidR="00314910" w:rsidRPr="00F11E31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參</w:t>
      </w:r>
      <w:r w:rsidRPr="00F11E31">
        <w:rPr>
          <w:rFonts w:ascii="Times New Roman" w:eastAsia="新細明體" w:hAnsi="Times New Roman" w:cs="細明體"/>
          <w:b/>
          <w:bCs/>
          <w:kern w:val="0"/>
          <w:szCs w:val="20"/>
          <w:bdr w:val="single" w:sz="4" w:space="0" w:color="auto"/>
        </w:rPr>
        <w:t>）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示丈光相（常光）</w:t>
      </w:r>
      <w:r w:rsidRPr="00F11E31">
        <w:rPr>
          <w:rFonts w:ascii="Times New Roman" w:eastAsia="新細明體" w:hAnsi="Times New Roman" w:cs="Times New Roman"/>
          <w:szCs w:val="20"/>
        </w:rPr>
        <w:t>（卷</w:t>
      </w:r>
      <w:r w:rsidRPr="00F11E31">
        <w:rPr>
          <w:rFonts w:ascii="Times New Roman" w:eastAsia="新細明體" w:hAnsi="Times New Roman" w:cs="Times New Roman"/>
          <w:szCs w:val="20"/>
        </w:rPr>
        <w:t>8</w:t>
      </w:r>
      <w:r w:rsidR="007E11A0" w:rsidRPr="00F11E31">
        <w:rPr>
          <w:rFonts w:ascii="Times New Roman" w:eastAsia="新細明體" w:hAnsi="Times New Roman" w:cs="Times New Roman"/>
          <w:szCs w:val="20"/>
        </w:rPr>
        <w:t>（</w:t>
      </w:r>
      <w:r w:rsidRPr="00F11E31">
        <w:rPr>
          <w:rFonts w:ascii="Times New Roman" w:eastAsia="新細明體" w:hAnsi="Times New Roman" w:cs="Times New Roman"/>
          <w:szCs w:val="20"/>
        </w:rPr>
        <w:t>大正</w:t>
      </w:r>
      <w:r w:rsidRPr="00F11E31">
        <w:rPr>
          <w:rFonts w:ascii="Times New Roman" w:eastAsia="新細明體" w:hAnsi="Times New Roman" w:cs="Times New Roman"/>
          <w:szCs w:val="20"/>
        </w:rPr>
        <w:t>25</w:t>
      </w:r>
      <w:r w:rsidRPr="00F11E31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114c</w:t>
        </w:r>
      </w:smartTag>
      <w:r w:rsidRPr="00F11E31">
        <w:rPr>
          <w:rFonts w:ascii="Times New Roman" w:eastAsia="新細明體" w:hAnsi="Times New Roman" w:cs="Times New Roman"/>
          <w:szCs w:val="20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-115a</w:t>
        </w:r>
      </w:smartTag>
      <w:r w:rsidRPr="00F11E31">
        <w:rPr>
          <w:rFonts w:ascii="Times New Roman" w:eastAsia="新細明體" w:hAnsi="Times New Roman" w:cs="Times New Roman"/>
          <w:szCs w:val="20"/>
        </w:rPr>
        <w:t>3</w:t>
      </w:r>
      <w:r w:rsidR="007E11A0" w:rsidRPr="00F11E31">
        <w:rPr>
          <w:rFonts w:ascii="Times New Roman" w:eastAsia="新細明體" w:hAnsi="Times New Roman" w:cs="Times New Roman" w:hint="eastAsia"/>
          <w:szCs w:val="20"/>
        </w:rPr>
        <w:t>）</w:t>
      </w:r>
      <w:r w:rsidRPr="00F11E31">
        <w:rPr>
          <w:rFonts w:ascii="Times New Roman" w:eastAsia="新細明體" w:hAnsi="Times New Roman" w:cs="Times New Roman"/>
          <w:szCs w:val="20"/>
        </w:rPr>
        <w:t>）</w:t>
      </w:r>
    </w:p>
    <w:p w:rsidR="00F11E31" w:rsidRPr="00F11E31" w:rsidRDefault="007E0C50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※</w:t>
      </w:r>
      <w:r w:rsidR="00FB6595"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="00583DD4"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上已出身分光、毛孔光，今何以復放常光</w:t>
      </w:r>
    </w:p>
    <w:p w:rsidR="00F11E31" w:rsidRPr="00F11E31" w:rsidRDefault="007E0C50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</w:rPr>
      </w:pPr>
      <w:bookmarkStart w:id="1" w:name="0114c16"/>
      <w:r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一、</w:t>
      </w:r>
      <w:r w:rsidR="00583DD4"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有人見異光明，謂非佛光；見佛常光，謂此是真實佛光</w:t>
      </w:r>
      <w:bookmarkEnd w:id="1"/>
    </w:p>
    <w:p w:rsidR="00F11E3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2" w:name="0114c18"/>
      <w:r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※</w:t>
      </w:r>
      <w:r w:rsidR="00DD113E"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="00583DD4"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釋「常光」</w:t>
      </w:r>
      <w:bookmarkEnd w:id="2"/>
    </w:p>
    <w:p w:rsidR="00F11E31" w:rsidRPr="00F11E31" w:rsidRDefault="00F466A5" w:rsidP="001E67A8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3" w:name="0114c20"/>
      <w:r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※</w:t>
      </w:r>
      <w:r w:rsidR="00DD113E" w:rsidRPr="00F11E31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 xml:space="preserve"> </w:t>
      </w:r>
      <w:r w:rsidR="00583DD4"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佛光常一丈之理由</w:t>
      </w:r>
      <w:bookmarkEnd w:id="3"/>
    </w:p>
    <w:p w:rsidR="00F11E31" w:rsidRPr="00F11E31" w:rsidRDefault="007E0C50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4" w:name="0114c28"/>
      <w:r w:rsidRPr="00F11E31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二、</w:t>
      </w:r>
      <w:r w:rsidR="00583DD4"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有人見佛常光歡喜得度</w:t>
      </w:r>
      <w:bookmarkEnd w:id="4"/>
    </w:p>
    <w:p w:rsidR="00F11E31" w:rsidRPr="00F11E31" w:rsidRDefault="00583DD4" w:rsidP="001E67A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5" w:name="0115a04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（肆）現舌相光</w:t>
      </w:r>
      <w:r w:rsidRPr="00F11E31">
        <w:rPr>
          <w:rFonts w:ascii="Times New Roman" w:eastAsia="新細明體" w:hAnsi="Times New Roman" w:cs="Times New Roman"/>
          <w:szCs w:val="20"/>
        </w:rPr>
        <w:t>（卷</w:t>
      </w:r>
      <w:r w:rsidRPr="00F11E31">
        <w:rPr>
          <w:rFonts w:ascii="Times New Roman" w:eastAsia="新細明體" w:hAnsi="Times New Roman" w:cs="Times New Roman"/>
          <w:szCs w:val="20"/>
        </w:rPr>
        <w:t>8</w:t>
      </w:r>
      <w:r w:rsidR="007E11A0" w:rsidRPr="00F11E31">
        <w:rPr>
          <w:rFonts w:ascii="Times New Roman" w:eastAsia="新細明體" w:hAnsi="Times New Roman" w:cs="Times New Roman"/>
          <w:szCs w:val="20"/>
        </w:rPr>
        <w:t>（</w:t>
      </w:r>
      <w:r w:rsidRPr="00F11E31">
        <w:rPr>
          <w:rFonts w:ascii="Times New Roman" w:eastAsia="新細明體" w:hAnsi="Times New Roman" w:cs="Times New Roman"/>
          <w:szCs w:val="20"/>
        </w:rPr>
        <w:t>大正</w:t>
      </w:r>
      <w:r w:rsidRPr="00F11E31">
        <w:rPr>
          <w:rFonts w:ascii="Times New Roman" w:eastAsia="新細明體" w:hAnsi="Times New Roman" w:cs="Times New Roman"/>
          <w:szCs w:val="20"/>
        </w:rPr>
        <w:t>25</w:t>
      </w:r>
      <w:r w:rsidRPr="00F11E31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115a</w:t>
        </w:r>
      </w:smartTag>
      <w:r w:rsidRPr="00F11E31">
        <w:rPr>
          <w:rFonts w:ascii="Times New Roman" w:eastAsia="新細明體" w:hAnsi="Times New Roman" w:cs="Times New Roman"/>
          <w:szCs w:val="20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-116c</w:t>
        </w:r>
      </w:smartTag>
      <w:r w:rsidRPr="00F11E31">
        <w:rPr>
          <w:rFonts w:ascii="Times New Roman" w:eastAsia="新細明體" w:hAnsi="Times New Roman" w:cs="Times New Roman"/>
          <w:szCs w:val="20"/>
        </w:rPr>
        <w:t>6</w:t>
      </w:r>
      <w:r w:rsidR="007E11A0" w:rsidRPr="00F11E31">
        <w:rPr>
          <w:rFonts w:ascii="Times New Roman" w:eastAsia="新細明體" w:hAnsi="Times New Roman" w:cs="Times New Roman" w:hint="eastAsia"/>
          <w:szCs w:val="20"/>
        </w:rPr>
        <w:t>）</w:t>
      </w:r>
      <w:r w:rsidRPr="00F11E31">
        <w:rPr>
          <w:rFonts w:ascii="Times New Roman" w:eastAsia="新細明體" w:hAnsi="Times New Roman" w:cs="Times New Roman"/>
          <w:szCs w:val="20"/>
        </w:rPr>
        <w:t>）</w:t>
      </w:r>
      <w:bookmarkEnd w:id="5"/>
    </w:p>
    <w:p w:rsidR="00F11E31" w:rsidRPr="00F11E3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一、釋「世尊出廣長舌」</w:t>
      </w:r>
    </w:p>
    <w:p w:rsidR="00F11E31" w:rsidRP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6" w:name="0115c02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二、釋「舌相光明遍覆三千大千世界」</w:t>
      </w:r>
      <w:bookmarkEnd w:id="6"/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7" w:name="0115c06"/>
      <w:r w:rsidRPr="00F11E31">
        <w:rPr>
          <w:rFonts w:ascii="新細明體" w:eastAsia="新細明體" w:hAnsi="新細明體" w:cs="新細明體" w:hint="eastAsia"/>
          <w:b/>
          <w:kern w:val="0"/>
          <w:szCs w:val="20"/>
          <w:bdr w:val="single" w:sz="4" w:space="0" w:color="auto"/>
        </w:rPr>
        <w:t>※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云何此世界及他方世界大眾能見舌相遍覆三千大千世界</w:t>
      </w:r>
      <w:bookmarkEnd w:id="7"/>
    </w:p>
    <w:p w:rsid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8" w:name="0115c18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三、釋「熙怡而笑」</w:t>
      </w:r>
      <w:bookmarkEnd w:id="8"/>
    </w:p>
    <w:p w:rsidR="00F11E31" w:rsidRP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</w:rPr>
      </w:pPr>
      <w:bookmarkStart w:id="9" w:name="0115c19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四、釋「舌根復放光明」</w:t>
      </w:r>
      <w:bookmarkEnd w:id="9"/>
    </w:p>
    <w:p w:rsidR="00583DD4" w:rsidRP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10" w:name="0115c24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五、釋「光化成千葉金色寶華」</w:t>
      </w:r>
    </w:p>
    <w:p w:rsidR="00F11E31" w:rsidRPr="00F11E31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（一）何故光明中化作寶華</w:t>
      </w:r>
      <w:bookmarkEnd w:id="10"/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</w:rPr>
      </w:pPr>
      <w:bookmarkStart w:id="11" w:name="0115c26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（二）諸床可</w:t>
      </w:r>
      <w:r w:rsidRPr="00F11E31">
        <w:rPr>
          <w:rFonts w:ascii="Times New Roman" w:eastAsia="新細明體" w:hAnsi="Times New Roman" w:cs="新細明體" w:hint="eastAsia"/>
          <w:b/>
          <w:bCs/>
          <w:kern w:val="0"/>
          <w:szCs w:val="20"/>
          <w:bdr w:val="single" w:sz="4" w:space="0" w:color="auto"/>
        </w:rPr>
        <w:t>坐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，佛為何以蓮華為座</w:t>
      </w:r>
    </w:p>
    <w:p w:rsidR="00F11E31" w:rsidRPr="00F11E3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、</w:t>
      </w: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床為白衣坐法，佛欲現神力故坐蓮華上而華不壞</w:t>
      </w:r>
      <w:bookmarkEnd w:id="11"/>
    </w:p>
    <w:p w:rsidR="00F11E31" w:rsidRPr="00F11E31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12" w:name="0116a05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、梵天王坐蓮華上，諸佛隨世俗故亦以蓮華為座</w:t>
      </w:r>
      <w:bookmarkEnd w:id="12"/>
    </w:p>
    <w:p w:rsidR="00583DD4" w:rsidRP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bookmarkStart w:id="13" w:name="0116a17"/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六、釋「諸華上皆有化佛結加趺坐，說六波羅蜜」</w:t>
      </w:r>
    </w:p>
    <w:p w:rsidR="00F11E31" w:rsidRPr="00F11E31" w:rsidRDefault="00583DD4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（一）無量化佛一時能說法</w:t>
      </w:r>
      <w:bookmarkEnd w:id="13"/>
    </w:p>
    <w:p w:rsidR="00583DD4" w:rsidRPr="00F11E3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14" w:name="0116a20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、辨「外道、聲聞變化」與「佛變化」之差異</w:t>
      </w:r>
    </w:p>
    <w:p w:rsidR="00F11E31" w:rsidRPr="00F11E3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5" w:name="0116a21"/>
      <w:bookmarkEnd w:id="14"/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）佛三昧力不可思議，佛自語時，無量化佛亦一時皆語</w:t>
      </w:r>
      <w:bookmarkEnd w:id="15"/>
    </w:p>
    <w:p w:rsidR="00F11E31" w:rsidRPr="00F11E31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Cs w:val="20"/>
        </w:rPr>
      </w:pPr>
      <w:bookmarkStart w:id="16" w:name="0116a23"/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）佛化復能作化</w:t>
      </w:r>
      <w:bookmarkEnd w:id="16"/>
    </w:p>
    <w:p w:rsidR="00F11E31" w:rsidRPr="00F11E31" w:rsidRDefault="00583DD4" w:rsidP="001E67A8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Cs w:val="20"/>
        </w:rPr>
      </w:pPr>
      <w:bookmarkStart w:id="17" w:name="0116a24"/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）佛身滅度復能留化</w:t>
      </w:r>
      <w:bookmarkEnd w:id="17"/>
    </w:p>
    <w:p w:rsidR="00F11E31" w:rsidRPr="00F11E31" w:rsidRDefault="00583DD4" w:rsidP="001E67A8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18" w:name="0116a26"/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</w:rPr>
        <w:t>、化佛語時亦不有心，佛欲令化佛語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時即便皆語</w:t>
      </w:r>
      <w:bookmarkEnd w:id="18"/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19" w:name="0116a28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（二）佛欲說般若，何故令化佛說六度</w:t>
      </w:r>
      <w:bookmarkEnd w:id="19"/>
    </w:p>
    <w:p w:rsidR="00F11E31" w:rsidRPr="00F11E3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0" w:name="0116b01"/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、般若與六度一法無異</w:t>
      </w:r>
      <w:bookmarkEnd w:id="20"/>
    </w:p>
    <w:p w:rsidR="00F11E31" w:rsidRPr="00F11E31" w:rsidRDefault="00583DD4" w:rsidP="001E67A8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1" w:name="0116b07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lastRenderedPageBreak/>
        <w:t>2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、五度莊嚴般若</w:t>
      </w:r>
      <w:bookmarkEnd w:id="21"/>
    </w:p>
    <w:p w:rsidR="00F11E31" w:rsidRPr="00F11E31" w:rsidRDefault="00583DD4" w:rsidP="001E67A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</w:rPr>
      </w:pP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七、釋「復至十方如恒河沙等諸佛世界，皆亦如是」</w:t>
      </w:r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（一）佛有如是大神力，應度盡一切眾生</w:t>
      </w:r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2" w:name="0116b17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（二）能聞知佛說法之眾生，為何不盡得道</w:t>
      </w:r>
      <w:bookmarkEnd w:id="22"/>
    </w:p>
    <w:p w:rsidR="00F11E31" w:rsidRPr="00F11E31" w:rsidRDefault="00583DD4" w:rsidP="001E67A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</w:pPr>
      <w:bookmarkStart w:id="23" w:name="0116b20"/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/>
        </w:rPr>
        <w:t>（三）十方諸佛遣化佛至各地說法，我等無三障，何以不聞</w:t>
      </w:r>
      <w:bookmarkEnd w:id="23"/>
    </w:p>
    <w:p w:rsidR="00583DD4" w:rsidRPr="00F11E31" w:rsidRDefault="00583DD4" w:rsidP="001E67A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（伍）地六震動（佛入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師子遊戲三昧，地六震動，令眾生離苦得解脫）</w:t>
      </w:r>
      <w:r w:rsidRPr="00F11E31">
        <w:rPr>
          <w:rFonts w:ascii="Times New Roman" w:eastAsia="新細明體" w:hAnsi="Times New Roman" w:cs="Times New Roman"/>
          <w:szCs w:val="20"/>
        </w:rPr>
        <w:t>（卷</w:t>
      </w:r>
      <w:r w:rsidRPr="00F11E31">
        <w:rPr>
          <w:rFonts w:ascii="Times New Roman" w:eastAsia="新細明體" w:hAnsi="Times New Roman" w:cs="Times New Roman"/>
          <w:szCs w:val="20"/>
        </w:rPr>
        <w:t>8</w:t>
      </w:r>
      <w:r w:rsidR="007E11A0" w:rsidRPr="00F11E31">
        <w:rPr>
          <w:rFonts w:ascii="Times New Roman" w:eastAsia="新細明體" w:hAnsi="Times New Roman" w:cs="Times New Roman"/>
          <w:szCs w:val="20"/>
        </w:rPr>
        <w:t>（</w:t>
      </w:r>
      <w:r w:rsidRPr="00F11E31">
        <w:rPr>
          <w:rFonts w:ascii="Times New Roman" w:eastAsia="新細明體" w:hAnsi="Times New Roman" w:cs="Times New Roman"/>
          <w:szCs w:val="20"/>
        </w:rPr>
        <w:t>大正</w:t>
      </w:r>
      <w:r w:rsidRPr="00F11E31">
        <w:rPr>
          <w:rFonts w:ascii="Times New Roman" w:eastAsia="新細明體" w:hAnsi="Times New Roman" w:cs="Times New Roman"/>
          <w:szCs w:val="20"/>
        </w:rPr>
        <w:t>25</w:t>
      </w:r>
      <w:r w:rsidRPr="00F11E31">
        <w:rPr>
          <w:rFonts w:ascii="Times New Roman" w:eastAsia="新細明體" w:hAnsi="Times New Roman" w:cs="Times New Roman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F11E31">
          <w:rPr>
            <w:rFonts w:ascii="Times New Roman" w:eastAsia="新細明體" w:hAnsi="Times New Roman" w:cs="Times New Roman"/>
            <w:szCs w:val="20"/>
          </w:rPr>
          <w:t>116c</w:t>
        </w:r>
      </w:smartTag>
      <w:r w:rsidRPr="00F11E31">
        <w:rPr>
          <w:rFonts w:ascii="Times New Roman" w:eastAsia="新細明體" w:hAnsi="Times New Roman" w:cs="Times New Roman"/>
          <w:szCs w:val="20"/>
        </w:rPr>
        <w:t>7-121b12</w:t>
      </w:r>
      <w:r w:rsidR="007E11A0" w:rsidRPr="00F11E31">
        <w:rPr>
          <w:rFonts w:ascii="Times New Roman" w:eastAsia="新細明體" w:hAnsi="Times New Roman" w:cs="Times New Roman"/>
          <w:szCs w:val="20"/>
        </w:rPr>
        <w:t>）</w:t>
      </w:r>
      <w:r w:rsidRPr="00F11E31">
        <w:rPr>
          <w:rFonts w:ascii="Times New Roman" w:eastAsia="新細明體" w:hAnsi="Times New Roman" w:cs="Times New Roman"/>
          <w:szCs w:val="20"/>
        </w:rPr>
        <w:t>）</w:t>
      </w:r>
    </w:p>
    <w:p w:rsidR="00F11E31" w:rsidRPr="00F11E31" w:rsidRDefault="00583DD4" w:rsidP="001E67A8">
      <w:pPr>
        <w:ind w:leftChars="100" w:left="240" w:firstLineChars="50" w:firstLine="12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一、</w:t>
      </w:r>
      <w:r w:rsidRPr="00F11E31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佛入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師子遊戲三昧，以神通力令地六種震動</w:t>
      </w:r>
    </w:p>
    <w:p w:rsidR="00583DD4" w:rsidRPr="00F11E3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（一）釋「師子遊戲三昧」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、何故名「師子遊戲三昧」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）佛入此三昧，能自在轉地令六種震動</w:t>
      </w:r>
    </w:p>
    <w:p w:rsidR="00F11E31" w:rsidRPr="00F11E31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）佛入此三昧，能令三惡道眾生皆得安隱</w:t>
      </w:r>
    </w:p>
    <w:p w:rsidR="00F11E31" w:rsidRPr="00F11E31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）佛入此三昧，能令地獄惡道眾生解脫生天</w:t>
      </w:r>
    </w:p>
    <w:p w:rsidR="00F11E31" w:rsidRPr="00F11E31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、佛何故入師子遊戲三昧」</w:t>
      </w:r>
    </w:p>
    <w:p w:rsidR="00F11E31" w:rsidRPr="00F11E3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）欲令三惡道眾生出離故</w:t>
      </w:r>
    </w:p>
    <w:p w:rsidR="00F11E31" w:rsidRPr="00F11E31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）欲令眾生知佛神力無量，令皆離苦故</w:t>
      </w:r>
    </w:p>
    <w:p w:rsidR="00583DD4" w:rsidRPr="00F11E31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（二）釋「佛以神通力感動三千大千世界，六種震動」</w:t>
      </w:r>
    </w:p>
    <w:p w:rsidR="00F11E31" w:rsidRPr="00F11E31" w:rsidRDefault="00583DD4" w:rsidP="00E67A19">
      <w:pPr>
        <w:spacing w:line="350" w:lineRule="exact"/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、何故獨言是佛神力</w:t>
      </w:r>
    </w:p>
    <w:p w:rsidR="00F11E31" w:rsidRPr="00F11E31" w:rsidRDefault="00583DD4" w:rsidP="00E67A19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、佛何故震動三千大千世界</w:t>
      </w:r>
    </w:p>
    <w:p w:rsidR="00F11E31" w:rsidRPr="00F11E3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）欲令眾生知一切皆空、無常故</w:t>
      </w:r>
    </w:p>
    <w:p w:rsidR="00F11E31" w:rsidRPr="00F11E31" w:rsidRDefault="00583DD4" w:rsidP="00E67A19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）令眾生見佛神力，敬心柔軟故</w:t>
      </w:r>
    </w:p>
    <w:p w:rsidR="00F11E31" w:rsidRPr="00F11E31" w:rsidRDefault="00583DD4" w:rsidP="00586AD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二、釋「地六種震動」</w:t>
      </w:r>
    </w:p>
    <w:p w:rsidR="00F11E31" w:rsidRDefault="00583DD4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（一）地動之種類</w:t>
      </w:r>
    </w:p>
    <w:p w:rsidR="00583DD4" w:rsidRPr="00F11E31" w:rsidRDefault="00583DD4" w:rsidP="00E67A1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（二）地動之因緣</w:t>
      </w:r>
    </w:p>
    <w:p w:rsidR="00F11E31" w:rsidRPr="00F11E3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、八種因緣令地震動</w:t>
      </w:r>
    </w:p>
    <w:p w:rsidR="00F11E31" w:rsidRPr="00F11E31" w:rsidRDefault="00583DD4" w:rsidP="00E67A1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、四種因緣令地震動</w:t>
      </w:r>
    </w:p>
    <w:p w:rsidR="00F11E31" w:rsidRPr="00F11E31" w:rsidRDefault="00583DD4" w:rsidP="00E67A19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※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二十八宿地動吉凶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、佛初生時、初成佛時、將滅度時、佛欲大集眾生時皆地動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、菩薩得授記將來作佛，地神大喜故地動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5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、佛動世界令眾生知福德微薄，皆歸無常</w:t>
      </w:r>
    </w:p>
    <w:p w:rsidR="00F11E31" w:rsidRPr="00F11E31" w:rsidRDefault="00583DD4" w:rsidP="001E67A8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三、釋「地皆柔軟，令眾生和悅」</w:t>
      </w:r>
    </w:p>
    <w:p w:rsidR="00F11E31" w:rsidRPr="00F11E31" w:rsidRDefault="00583DD4" w:rsidP="00E67A19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lastRenderedPageBreak/>
        <w:t>四、令三惡八難即時解脫，得生欲界天</w:t>
      </w:r>
    </w:p>
    <w:p w:rsidR="00F11E31" w:rsidRPr="00F11E3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（一）若佛能令三惡八難解脫生天，何用修福行善？</w:t>
      </w:r>
    </w:p>
    <w:p w:rsidR="00F11E31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（二）何故善心因緣生欲界天，不生色界及無色界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、無色界無身故，不可為說法；色界中無厭心，難可得道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、不行四禪及四空定故，不得生上二界</w:t>
      </w:r>
    </w:p>
    <w:p w:rsidR="00F11E31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（三）五蘊空、無我，誰生誰死？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、般若中無外道實我，但有假名因緣和合有</w:t>
      </w:r>
    </w:p>
    <w:p w:rsidR="00583DD4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、明誰生誰死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）世界法實有生死，實相法中無生死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）生死人有生死，不生死人無生死</w:t>
      </w:r>
    </w:p>
    <w:p w:rsidR="00F11E31" w:rsidRPr="00F11E31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五、天人自識宿命而至佛所</w:t>
      </w:r>
    </w:p>
    <w:p w:rsidR="00F11E31" w:rsidRPr="00F11E3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</w:rPr>
      </w:pP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 w:frame="1"/>
        </w:rPr>
        <w:t>（一）人云何能識宿命</w:t>
      </w:r>
    </w:p>
    <w:p w:rsidR="00F11E31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（二）佛住處遠，人云何能至</w:t>
      </w:r>
    </w:p>
    <w:p w:rsidR="00F11E31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（三）人初生時云何能即至佛所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、有化生人即時長大，能到佛所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、有人報得神通故，能到佛所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、借佛神通力故，能到佛所</w:t>
      </w:r>
    </w:p>
    <w:p w:rsidR="00F11E31" w:rsidRPr="00F11E31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六、十方如恒河沙等世界地皆震動，三惡八難即時解脫</w:t>
      </w:r>
    </w:p>
    <w:p w:rsidR="00F11E31" w:rsidRPr="00F11E3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（一）三千大千世界眾生甚多，何以復及十方如恒河沙等世界眾生</w:t>
      </w:r>
    </w:p>
    <w:p w:rsidR="00F11E31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（二）若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>釋迦佛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以大神力廣度十方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>，何須餘佛度眾</w:t>
      </w:r>
    </w:p>
    <w:p w:rsidR="00F11E31" w:rsidRPr="00F11E3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  <w:t>1</w:t>
      </w:r>
      <w:r w:rsidRPr="00F11E31"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  <w:t>、眾生無量，不一時熟，又</w:t>
      </w:r>
      <w:r w:rsidRPr="00F11E31"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  <w:t>因緣各各不同故</w:t>
      </w:r>
    </w:p>
    <w:p w:rsidR="00F11E31" w:rsidRPr="00F11E31" w:rsidRDefault="00583DD4" w:rsidP="00E67A1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11E31"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  <w:t>2</w:t>
      </w:r>
      <w:r w:rsidRPr="00F11E31"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  <w:t>、世界無邊無量故</w:t>
      </w:r>
    </w:p>
    <w:p w:rsidR="00F11E31" w:rsidRPr="00F11E31" w:rsidRDefault="00583DD4" w:rsidP="00E67A1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七、令一切眾生盲者得視，乃至形殘者得具足</w:t>
      </w:r>
    </w:p>
    <w:p w:rsidR="00F11E31" w:rsidRPr="00F11E3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新細明體" w:eastAsia="新細明體" w:hAnsi="新細明體" w:cs="新細明體" w:hint="eastAsia"/>
          <w:b/>
          <w:bCs/>
          <w:szCs w:val="23"/>
          <w:bdr w:val="single" w:sz="4" w:space="0" w:color="auto"/>
        </w:rPr>
        <w:t>※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>眾苦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皆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救，經中但略舉麤者</w:t>
      </w:r>
    </w:p>
    <w:p w:rsidR="00F11E31" w:rsidRPr="00F11E31" w:rsidRDefault="00583DD4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>釋「盲者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得視」</w:t>
      </w:r>
    </w:p>
    <w:p w:rsidR="00F11E31" w:rsidRPr="00F11E3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、佛能令重罪者得視，何況輕者</w:t>
      </w:r>
    </w:p>
    <w:p w:rsidR="00F11E31" w:rsidRPr="00F11E31" w:rsidRDefault="00583DD4" w:rsidP="00E67A1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</w:pPr>
      <w:r w:rsidRPr="00F11E31">
        <w:rPr>
          <w:rFonts w:ascii="新細明體" w:eastAsia="新細明體" w:hAnsi="新細明體" w:cs="新細明體" w:hint="eastAsia"/>
          <w:b/>
          <w:bCs/>
          <w:szCs w:val="23"/>
          <w:bdr w:val="single" w:sz="4" w:space="0" w:color="auto"/>
        </w:rPr>
        <w:t>※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Times New Roman"/>
          <w:b/>
          <w:bCs/>
          <w:szCs w:val="23"/>
          <w:bdr w:val="single" w:sz="4" w:space="0" w:color="auto"/>
        </w:rPr>
        <w:t>失明因緣</w:t>
      </w:r>
    </w:p>
    <w:p w:rsidR="00F11E31" w:rsidRPr="00F11E3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）先世因緣</w:t>
      </w:r>
    </w:p>
    <w:p w:rsidR="00F11E31" w:rsidRPr="00F11E31" w:rsidRDefault="00583DD4" w:rsidP="00E67A1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）今世因緣</w:t>
      </w:r>
    </w:p>
    <w:p w:rsidR="00F11E31" w:rsidRPr="00F11E31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、九十六種眼病，唯佛世尊能令得視</w:t>
      </w:r>
    </w:p>
    <w:p w:rsidR="00F11E31" w:rsidRPr="00F11E31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、先令得視，後令得智慧眼</w:t>
      </w:r>
    </w:p>
    <w:p w:rsidR="00F11E31" w:rsidRPr="00F11E31" w:rsidRDefault="00583DD4" w:rsidP="001E67A8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※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聾、啞等亦如是</w:t>
      </w:r>
    </w:p>
    <w:p w:rsidR="00583DD4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（二）釋「聾者得聽」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、何故不說生聾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、聾之因緣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）先世因緣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）今世因緣</w:t>
      </w:r>
    </w:p>
    <w:p w:rsidR="00583DD4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（三）釋「啞者能言」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啞之因緣</w:t>
      </w:r>
    </w:p>
    <w:p w:rsidR="00583DD4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（四）釋「狂者得正」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、狂之因緣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）先世因緣</w:t>
      </w:r>
    </w:p>
    <w:p w:rsidR="00F11E31" w:rsidRPr="00F11E31" w:rsidRDefault="00583DD4" w:rsidP="00E67A19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）今世因緣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、見佛故狂即得正</w:t>
      </w:r>
    </w:p>
    <w:p w:rsidR="00583DD4" w:rsidRPr="00F11E31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（五）釋「亂者得定」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、何謂「亂」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、亂之因緣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、見佛故亂心得定得正</w:t>
      </w:r>
    </w:p>
    <w:p w:rsidR="00F11E31" w:rsidRPr="00F11E31" w:rsidRDefault="00583DD4" w:rsidP="00E67A19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（六）釋「裸者得衣」</w:t>
      </w:r>
    </w:p>
    <w:p w:rsidR="00583DD4" w:rsidRPr="00F11E31" w:rsidRDefault="00583DD4" w:rsidP="00E67A19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（七）釋「飢者得飽，渴者得飲」</w:t>
      </w:r>
    </w:p>
    <w:p w:rsidR="00F11E31" w:rsidRPr="00F11E31" w:rsidRDefault="00583DD4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、飢渴之因緣</w:t>
      </w:r>
    </w:p>
    <w:p w:rsidR="00F11E31" w:rsidRPr="00F11E31" w:rsidRDefault="00583DD4" w:rsidP="001E67A8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、為何有生惡世人得好飲食，值佛世生而飢渴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、飢渴眾生云何而得飽滿</w:t>
      </w:r>
    </w:p>
    <w:p w:rsidR="00583DD4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（八）釋「病者得愈」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、病有二種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、病之因緣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、以佛神力故，病者得愈</w:t>
      </w:r>
    </w:p>
    <w:p w:rsidR="00583DD4" w:rsidRPr="00F11E31" w:rsidRDefault="00583DD4" w:rsidP="000A61C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（九）釋「形殘者得具足」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、形殘之因緣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）先世因緣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）今世因緣</w:t>
      </w:r>
    </w:p>
    <w:p w:rsidR="00F11E31" w:rsidRPr="00F11E31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、蒙佛大恩，形殘皆得具足</w:t>
      </w:r>
    </w:p>
    <w:p w:rsidR="00F11E31" w:rsidRPr="00F11E31" w:rsidRDefault="00583DD4" w:rsidP="001E67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11E31" w:rsidRDefault="00583DD4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（一）釋「一切眾生皆得等心相視」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、於一切眾生中無怨無恚，相視如父母，名為等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、見老者如父母，長者如兄姊，少者如弟妹</w:t>
      </w:r>
    </w:p>
    <w:p w:rsidR="00F11E31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、云何非父母、非親親而言如父母、如親親</w:t>
      </w:r>
    </w:p>
    <w:p w:rsidR="00583DD4" w:rsidRPr="00F11E31" w:rsidRDefault="00583DD4" w:rsidP="001E67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F11E31" w:rsidRPr="00F11E3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、釋「眾生等行十善業道」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）十善道之內容（身三、口四、意三）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 w:frame="1"/>
        </w:rPr>
        <w:t>（</w:t>
      </w: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 w:frame="1"/>
        </w:rPr>
        <w:t>2</w:t>
      </w: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 w:frame="1"/>
        </w:rPr>
        <w:t>）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 w:frame="1"/>
        </w:rPr>
        <w:t>不自作、不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教</w:t>
      </w:r>
      <w:r w:rsidRPr="00F11E31">
        <w:rPr>
          <w:rFonts w:ascii="Times New Roman" w:eastAsia="新細明體" w:hAnsi="Times New Roman" w:cs="新細明體"/>
          <w:b/>
          <w:bCs/>
          <w:kern w:val="0"/>
          <w:szCs w:val="20"/>
          <w:bdr w:val="single" w:sz="4" w:space="0" w:color="auto" w:frame="1"/>
        </w:rPr>
        <w:t>他作，稱讚、歡喜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3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）</w:t>
      </w:r>
      <w:r w:rsidRPr="00F11E31"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 w:frame="1"/>
        </w:rPr>
        <w:t>業與業道</w:t>
      </w:r>
    </w:p>
    <w:p w:rsidR="00F11E31" w:rsidRPr="00F11E31" w:rsidRDefault="00583DD4" w:rsidP="0001571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、釋「淨修梵行、無諸瑕穢」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）釋「淨修梵行」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）釋「無諸瑕穢」</w:t>
      </w:r>
    </w:p>
    <w:p w:rsidR="00583DD4" w:rsidRPr="00F11E31" w:rsidRDefault="00583DD4" w:rsidP="001E67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、釋「惔然快樂，譬如比丘入第三禪」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）釋「惔然快樂」</w:t>
      </w:r>
    </w:p>
    <w:p w:rsidR="00F11E31" w:rsidRPr="00F11E31" w:rsidRDefault="00D849F9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583DD4"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二種樂：</w:t>
      </w:r>
      <w:r w:rsidR="00583DD4"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內樂，涅槃樂</w:t>
      </w:r>
    </w:p>
    <w:p w:rsidR="00F11E31" w:rsidRPr="00F11E31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B</w:t>
      </w: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、</w:t>
      </w:r>
      <w:r w:rsidR="00583DD4" w:rsidRPr="00F11E31">
        <w:rPr>
          <w:rFonts w:ascii="Times New Roman" w:eastAsia="新細明體" w:hAnsi="Times New Roman" w:cs="新細明體"/>
          <w:b/>
          <w:bCs/>
          <w:szCs w:val="20"/>
          <w:bdr w:val="single" w:sz="4" w:space="0" w:color="auto" w:frame="1"/>
        </w:rPr>
        <w:t>內樂欲界繫，涅槃樂不繫</w:t>
      </w:r>
    </w:p>
    <w:p w:rsidR="00F11E31" w:rsidRPr="00F11E31" w:rsidRDefault="00D849F9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="00583DD4"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欲界繫</w:t>
      </w:r>
    </w:p>
    <w:p w:rsidR="00F11E31" w:rsidRPr="00F11E31" w:rsidRDefault="00D849F9" w:rsidP="0091097E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="00583DD4"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不繫</w:t>
      </w:r>
    </w:p>
    <w:p w:rsidR="00F11E31" w:rsidRPr="00F11E31" w:rsidRDefault="00583DD4" w:rsidP="000A61C8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）釋「譬如比丘入第三禪」</w:t>
      </w:r>
    </w:p>
    <w:p w:rsidR="00F11E31" w:rsidRPr="00F11E31" w:rsidRDefault="00D849F9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583DD4"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心中歡喜，樂受滿足在第三禪中</w:t>
      </w:r>
    </w:p>
    <w:p w:rsidR="00F11E31" w:rsidRPr="00F11E31" w:rsidRDefault="00583DD4" w:rsidP="00586AD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※</w:t>
      </w:r>
      <w:r w:rsidR="00DD113E" w:rsidRPr="00F11E31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 xml:space="preserve"> 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初禪、二禪亦有樂受，何故但言第三禪樂受滿足</w:t>
      </w:r>
    </w:p>
    <w:p w:rsidR="00F11E31" w:rsidRPr="00F11E31" w:rsidRDefault="00D849F9" w:rsidP="001E67A8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F11E3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="00583DD4"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過三禪更無樂，故言如比丘入第三禪</w:t>
      </w:r>
    </w:p>
    <w:p w:rsidR="00F11E31" w:rsidRPr="00F11E31" w:rsidRDefault="00583DD4" w:rsidP="001E67A8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（三）釋「皆得好慧，持戒、自守，不嬈眾生」</w:t>
      </w:r>
    </w:p>
    <w:p w:rsidR="00F11E31" w:rsidRPr="00F11E3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、釋「皆得好慧」</w:t>
      </w:r>
    </w:p>
    <w:p w:rsidR="00583DD4" w:rsidRPr="00F11E31" w:rsidRDefault="00583DD4" w:rsidP="000A61C8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、釋「</w:t>
      </w:r>
      <w:r w:rsidRPr="00F11E3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持戒、自守，不嬈眾生」</w:t>
      </w:r>
    </w:p>
    <w:p w:rsidR="00F11E31" w:rsidRPr="00F11E3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）持戒、自守、不嬈眾生</w:t>
      </w:r>
    </w:p>
    <w:p w:rsidR="00F11E31" w:rsidRPr="00F11E31" w:rsidRDefault="00583DD4" w:rsidP="001E67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F11E3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言好持戒、好自守、不嬈眾生之理由</w:t>
      </w:r>
    </w:p>
    <w:p w:rsidR="00F11E31" w:rsidRPr="00F11E31" w:rsidRDefault="00583DD4" w:rsidP="001E67A8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、總說「皆得好慧，持戒</w:t>
      </w:r>
      <w:r w:rsidR="00C5154F" w:rsidRPr="00F11E3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F11E3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自守，不嬈眾生」</w:t>
      </w:r>
    </w:p>
    <w:p w:rsidR="00004900" w:rsidRPr="00511545" w:rsidRDefault="00004900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</w:p>
    <w:sectPr w:rsidR="00004900" w:rsidRPr="00511545" w:rsidSect="004733B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65" w:rsidRDefault="00900F65" w:rsidP="00583DD4">
      <w:r>
        <w:separator/>
      </w:r>
    </w:p>
  </w:endnote>
  <w:endnote w:type="continuationSeparator" w:id="0">
    <w:p w:rsidR="00900F65" w:rsidRDefault="00900F65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6A4" w:rsidRDefault="00CE76A4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E31">
          <w:rPr>
            <w:noProof/>
          </w:rPr>
          <w:t>212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6A4" w:rsidRDefault="00CE76A4" w:rsidP="004733B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E31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65" w:rsidRDefault="00900F65" w:rsidP="00583DD4">
      <w:r>
        <w:separator/>
      </w:r>
    </w:p>
  </w:footnote>
  <w:footnote w:type="continuationSeparator" w:id="0">
    <w:p w:rsidR="00900F65" w:rsidRDefault="00900F65" w:rsidP="0058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6A4" w:rsidRPr="00F767C7" w:rsidRDefault="00CE76A4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6A4" w:rsidRDefault="00CE76A4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 w15:restartNumberingAfterBreak="0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F3C44"/>
    <w:rsid w:val="0011230A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820D3"/>
    <w:rsid w:val="002B5915"/>
    <w:rsid w:val="002C355F"/>
    <w:rsid w:val="002D4FCF"/>
    <w:rsid w:val="002E6C59"/>
    <w:rsid w:val="002F0E93"/>
    <w:rsid w:val="002F229C"/>
    <w:rsid w:val="002F22BE"/>
    <w:rsid w:val="002F6676"/>
    <w:rsid w:val="00312443"/>
    <w:rsid w:val="00314910"/>
    <w:rsid w:val="00331221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9452B"/>
    <w:rsid w:val="004B0426"/>
    <w:rsid w:val="004B28B9"/>
    <w:rsid w:val="004E2B55"/>
    <w:rsid w:val="004E46E3"/>
    <w:rsid w:val="004E71F6"/>
    <w:rsid w:val="00511545"/>
    <w:rsid w:val="00541A93"/>
    <w:rsid w:val="00572259"/>
    <w:rsid w:val="00573DCE"/>
    <w:rsid w:val="00583DD4"/>
    <w:rsid w:val="00586AD3"/>
    <w:rsid w:val="005922D6"/>
    <w:rsid w:val="00592F62"/>
    <w:rsid w:val="005A425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7228"/>
    <w:rsid w:val="006D200C"/>
    <w:rsid w:val="006E0A3C"/>
    <w:rsid w:val="006E54B7"/>
    <w:rsid w:val="006F1D54"/>
    <w:rsid w:val="006F4DFF"/>
    <w:rsid w:val="00716280"/>
    <w:rsid w:val="00742DF1"/>
    <w:rsid w:val="00751113"/>
    <w:rsid w:val="00772284"/>
    <w:rsid w:val="00774254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0F65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F18"/>
    <w:rsid w:val="00E1642A"/>
    <w:rsid w:val="00E67A19"/>
    <w:rsid w:val="00E776DB"/>
    <w:rsid w:val="00E82B70"/>
    <w:rsid w:val="00EA6BA2"/>
    <w:rsid w:val="00ED42FC"/>
    <w:rsid w:val="00EE368D"/>
    <w:rsid w:val="00F11798"/>
    <w:rsid w:val="00F11E31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537F"/>
    <w:rsid w:val="00FD1567"/>
    <w:rsid w:val="00FD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8CFCB8A-E320-495E-B443-6801321D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before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87756-AF69-46CB-BD85-2ADEEBAA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3</cp:revision>
  <cp:lastPrinted>2014-11-05T06:08:00Z</cp:lastPrinted>
  <dcterms:created xsi:type="dcterms:W3CDTF">2016-01-27T07:33:00Z</dcterms:created>
  <dcterms:modified xsi:type="dcterms:W3CDTF">2016-04-07T00:22:00Z</dcterms:modified>
</cp:coreProperties>
</file>