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DF616" w14:textId="77777777" w:rsidR="009D519D" w:rsidRDefault="00000000">
      <w:pPr>
        <w:spacing w:before="240" w:after="80"/>
        <w:jc w:val="center"/>
      </w:pPr>
      <w:r>
        <w:rPr>
          <w:b/>
          <w:color w:val="123B5D"/>
          <w:sz w:val="48"/>
        </w:rPr>
        <w:t>Consentext AI Gateway</w:t>
      </w:r>
    </w:p>
    <w:p w14:paraId="39A687A7" w14:textId="77777777" w:rsidR="009D519D" w:rsidRDefault="00000000">
      <w:pPr>
        <w:jc w:val="center"/>
      </w:pPr>
      <w:r>
        <w:rPr>
          <w:color w:val="4A6072"/>
          <w:sz w:val="26"/>
        </w:rPr>
        <w:t>Internal meaning framework and user-lane model</w:t>
      </w:r>
    </w:p>
    <w:tbl>
      <w:tblPr>
        <w:tblW w:w="0" w:type="auto"/>
        <w:jc w:val="center"/>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Layout w:type="fixed"/>
        <w:tblLook w:val="04A0" w:firstRow="1" w:lastRow="0" w:firstColumn="1" w:lastColumn="0" w:noHBand="0" w:noVBand="1"/>
      </w:tblPr>
      <w:tblGrid>
        <w:gridCol w:w="2160"/>
        <w:gridCol w:w="6912"/>
      </w:tblGrid>
      <w:tr w:rsidR="009D519D" w14:paraId="5A2F311A" w14:textId="77777777">
        <w:trPr>
          <w:jc w:val="center"/>
        </w:trPr>
        <w:tc>
          <w:tcPr>
            <w:tcW w:w="2160" w:type="dxa"/>
            <w:shd w:val="clear" w:color="auto" w:fill="EAF1F6"/>
            <w:tcMar>
              <w:top w:w="110" w:type="dxa"/>
              <w:left w:w="120" w:type="dxa"/>
              <w:bottom w:w="110" w:type="dxa"/>
              <w:right w:w="120" w:type="dxa"/>
            </w:tcMar>
            <w:vAlign w:val="center"/>
          </w:tcPr>
          <w:p w14:paraId="44AEED75" w14:textId="77777777" w:rsidR="009D519D" w:rsidRDefault="00000000">
            <w:pPr>
              <w:spacing w:after="0"/>
            </w:pPr>
            <w:r>
              <w:rPr>
                <w:b/>
                <w:color w:val="143C5A"/>
                <w:sz w:val="20"/>
              </w:rPr>
              <w:t>Audience</w:t>
            </w:r>
          </w:p>
        </w:tc>
        <w:tc>
          <w:tcPr>
            <w:tcW w:w="6912" w:type="dxa"/>
            <w:tcMar>
              <w:top w:w="110" w:type="dxa"/>
              <w:left w:w="120" w:type="dxa"/>
              <w:bottom w:w="110" w:type="dxa"/>
              <w:right w:w="120" w:type="dxa"/>
            </w:tcMar>
            <w:vAlign w:val="center"/>
          </w:tcPr>
          <w:p w14:paraId="05D8688A" w14:textId="77777777" w:rsidR="009D519D" w:rsidRDefault="00000000">
            <w:pPr>
              <w:spacing w:after="0"/>
            </w:pPr>
            <w:r>
              <w:rPr>
                <w:color w:val="222222"/>
                <w:sz w:val="20"/>
              </w:rPr>
              <w:t>Leadership, product, design, engineering, partners, and investors</w:t>
            </w:r>
          </w:p>
        </w:tc>
      </w:tr>
      <w:tr w:rsidR="009D519D" w14:paraId="56FE3FEC" w14:textId="77777777">
        <w:trPr>
          <w:jc w:val="center"/>
        </w:trPr>
        <w:tc>
          <w:tcPr>
            <w:tcW w:w="2160" w:type="dxa"/>
            <w:shd w:val="clear" w:color="auto" w:fill="EAF1F6"/>
            <w:tcMar>
              <w:top w:w="110" w:type="dxa"/>
              <w:left w:w="120" w:type="dxa"/>
              <w:bottom w:w="110" w:type="dxa"/>
              <w:right w:w="120" w:type="dxa"/>
            </w:tcMar>
            <w:vAlign w:val="center"/>
          </w:tcPr>
          <w:p w14:paraId="5F7B8A69" w14:textId="77777777" w:rsidR="009D519D" w:rsidRDefault="00000000">
            <w:pPr>
              <w:spacing w:after="0"/>
            </w:pPr>
            <w:r>
              <w:rPr>
                <w:b/>
                <w:color w:val="143C5A"/>
                <w:sz w:val="20"/>
              </w:rPr>
              <w:t>Status</w:t>
            </w:r>
          </w:p>
        </w:tc>
        <w:tc>
          <w:tcPr>
            <w:tcW w:w="6912" w:type="dxa"/>
            <w:tcMar>
              <w:top w:w="110" w:type="dxa"/>
              <w:left w:w="120" w:type="dxa"/>
              <w:bottom w:w="110" w:type="dxa"/>
              <w:right w:w="120" w:type="dxa"/>
            </w:tcMar>
            <w:vAlign w:val="center"/>
          </w:tcPr>
          <w:p w14:paraId="2179C16D" w14:textId="77777777" w:rsidR="009D519D" w:rsidRDefault="00000000">
            <w:pPr>
              <w:spacing w:after="0"/>
            </w:pPr>
            <w:r>
              <w:rPr>
                <w:color w:val="222222"/>
                <w:sz w:val="20"/>
              </w:rPr>
              <w:t>Working internal framing document - explains what AI Gateway means before final build scoping</w:t>
            </w:r>
          </w:p>
        </w:tc>
      </w:tr>
    </w:tbl>
    <w:p w14:paraId="72E72BF4" w14:textId="77777777" w:rsidR="009D519D" w:rsidRDefault="009D519D"/>
    <w:tbl>
      <w:tblPr>
        <w:tblW w:w="0" w:type="auto"/>
        <w:jc w:val="center"/>
        <w:tblBorders>
          <w:top w:val="single" w:sz="8" w:space="0" w:color="C4D5E3"/>
          <w:left w:val="single" w:sz="8" w:space="0" w:color="C4D5E3"/>
          <w:bottom w:val="single" w:sz="8" w:space="0" w:color="C4D5E3"/>
          <w:right w:val="single" w:sz="8" w:space="0" w:color="C4D5E3"/>
          <w:insideH w:val="single" w:sz="8" w:space="0" w:color="C4D5E3"/>
          <w:insideV w:val="single" w:sz="8" w:space="0" w:color="C4D5E3"/>
        </w:tblBorders>
        <w:tblLook w:val="04A0" w:firstRow="1" w:lastRow="0" w:firstColumn="1" w:lastColumn="0" w:noHBand="0" w:noVBand="1"/>
      </w:tblPr>
      <w:tblGrid>
        <w:gridCol w:w="9772"/>
      </w:tblGrid>
      <w:tr w:rsidR="009D519D" w14:paraId="0399F484" w14:textId="77777777">
        <w:trPr>
          <w:jc w:val="center"/>
        </w:trPr>
        <w:tc>
          <w:tcPr>
            <w:tcW w:w="9792" w:type="dxa"/>
            <w:shd w:val="clear" w:color="auto" w:fill="F6FAFD"/>
            <w:tcMar>
              <w:top w:w="120" w:type="dxa"/>
              <w:left w:w="140" w:type="dxa"/>
              <w:bottom w:w="120" w:type="dxa"/>
              <w:right w:w="140" w:type="dxa"/>
            </w:tcMar>
          </w:tcPr>
          <w:p w14:paraId="298E2D13" w14:textId="77777777" w:rsidR="009D519D" w:rsidRDefault="00000000">
            <w:pPr>
              <w:spacing w:after="60"/>
            </w:pPr>
            <w:r>
              <w:rPr>
                <w:b/>
                <w:color w:val="143C5A"/>
                <w:sz w:val="22"/>
              </w:rPr>
              <w:t>Working position reflected in this document</w:t>
            </w:r>
          </w:p>
          <w:p w14:paraId="4E63E813" w14:textId="77777777" w:rsidR="009D519D" w:rsidRDefault="00000000">
            <w:pPr>
              <w:pStyle w:val="ListBullet"/>
              <w:spacing w:after="40"/>
            </w:pPr>
            <w:r>
              <w:t>Consentext is being built for consumers, not as a one-size-fits-all enterprise system.</w:t>
            </w:r>
          </w:p>
          <w:p w14:paraId="69CB0741" w14:textId="77777777" w:rsidR="009D519D" w:rsidRDefault="00000000">
            <w:pPr>
              <w:pStyle w:val="ListBullet"/>
              <w:spacing w:after="40"/>
            </w:pPr>
            <w:r>
              <w:t>The gateway should offer multiple trust levels so users can choose how they want to interact with AI.</w:t>
            </w:r>
          </w:p>
          <w:p w14:paraId="2CE22719" w14:textId="77777777" w:rsidR="009D519D" w:rsidRDefault="00000000">
            <w:pPr>
              <w:pStyle w:val="ListBullet"/>
              <w:spacing w:after="40"/>
            </w:pPr>
            <w:r>
              <w:t>Sensitive health-record work needs a protected lane under Consentext control.</w:t>
            </w:r>
          </w:p>
          <w:p w14:paraId="7B02C5CA" w14:textId="77777777" w:rsidR="009D519D" w:rsidRDefault="00000000">
            <w:pPr>
              <w:pStyle w:val="ListBullet"/>
              <w:spacing w:after="40"/>
            </w:pPr>
            <w:r>
              <w:t>Direct handoff into outside AI user interfaces is off the board for now.</w:t>
            </w:r>
          </w:p>
          <w:p w14:paraId="346AE32D" w14:textId="77777777" w:rsidR="009D519D" w:rsidRDefault="00000000">
            <w:pPr>
              <w:pStyle w:val="ListBullet"/>
              <w:spacing w:after="40"/>
            </w:pPr>
            <w:r>
              <w:t>BYOK is only a possible connection method in certain external-model lanes, not the center of the strategy.</w:t>
            </w:r>
          </w:p>
        </w:tc>
      </w:tr>
    </w:tbl>
    <w:p w14:paraId="44462426" w14:textId="77777777" w:rsidR="009D519D" w:rsidRDefault="009D519D"/>
    <w:p w14:paraId="51E5A87C" w14:textId="77777777" w:rsidR="009D519D" w:rsidRDefault="00000000">
      <w:pPr>
        <w:spacing w:before="160" w:after="80"/>
      </w:pPr>
      <w:r>
        <w:rPr>
          <w:b/>
          <w:color w:val="143C5A"/>
          <w:sz w:val="32"/>
        </w:rPr>
        <w:t>1. What AI Gateway means in Consentext</w:t>
      </w:r>
    </w:p>
    <w:p w14:paraId="727D7F5A" w14:textId="77777777" w:rsidR="009D519D" w:rsidRDefault="00000000">
      <w:pPr>
        <w:spacing w:after="120"/>
      </w:pPr>
      <w:r>
        <w:rPr>
          <w:color w:val="222222"/>
        </w:rPr>
        <w:t>Consentext AI Gateway is not a single AI integration. It is a policy-enforced routing system that lets a consumer choose how much protection, control, and outside-model access they want for each interaction.</w:t>
      </w:r>
      <w:r>
        <w:br/>
      </w:r>
      <w:r>
        <w:br/>
      </w:r>
      <w:r>
        <w:rPr>
          <w:color w:val="222222"/>
        </w:rPr>
        <w:t>In simple terms, the gateway decides three things before any AI work happens: which lane the request belongs in, what data is allowed to be used for that lane, and whether anything is allowed to leave Consentext at all.</w:t>
      </w:r>
    </w:p>
    <w:p w14:paraId="538B8586" w14:textId="77777777" w:rsidR="009D519D" w:rsidRDefault="00000000">
      <w:pPr>
        <w:spacing w:after="40"/>
      </w:pPr>
      <w:r>
        <w:rPr>
          <w:color w:val="222222"/>
        </w:rPr>
        <w:t>This framing merges the strongest ideas already present in the current materials: deterministic systems for facts, a protected internal AI path for sensitive record work, a hybrid path for reduced external use, and a broader outside-model path for users who want maximum flexibility.</w:t>
      </w:r>
    </w:p>
    <w:p w14:paraId="2A8E39D3" w14:textId="77777777" w:rsidR="009D519D" w:rsidRDefault="00000000">
      <w:r>
        <w:br w:type="page"/>
      </w:r>
    </w:p>
    <w:p w14:paraId="2D4D2CD2" w14:textId="77777777" w:rsidR="009D519D" w:rsidRDefault="00000000">
      <w:pPr>
        <w:spacing w:before="160" w:after="80"/>
      </w:pPr>
      <w:r>
        <w:rPr>
          <w:b/>
          <w:color w:val="143C5A"/>
          <w:sz w:val="32"/>
        </w:rPr>
        <w:t>2. The option board</w:t>
      </w:r>
    </w:p>
    <w:p w14:paraId="04BD2D9D" w14:textId="77777777" w:rsidR="009D519D" w:rsidRDefault="00000000">
      <w:pPr>
        <w:spacing w:after="80"/>
      </w:pPr>
      <w:r>
        <w:rPr>
          <w:color w:val="222222"/>
        </w:rPr>
        <w:t>Four lanes are on the board. One path is off the board.</w:t>
      </w:r>
    </w:p>
    <w:tbl>
      <w:tblPr>
        <w:tblW w:w="0" w:type="auto"/>
        <w:jc w:val="center"/>
        <w:tblBorders>
          <w:top w:val="single" w:sz="6" w:space="0" w:color="D6DEE6"/>
          <w:left w:val="single" w:sz="6" w:space="0" w:color="D6DEE6"/>
          <w:bottom w:val="single" w:sz="6" w:space="0" w:color="D6DEE6"/>
          <w:right w:val="single" w:sz="6" w:space="0" w:color="D6DEE6"/>
          <w:insideH w:val="single" w:sz="6" w:space="0" w:color="D6DEE6"/>
          <w:insideV w:val="single" w:sz="6" w:space="0" w:color="D6DEE6"/>
        </w:tblBorders>
        <w:tblLayout w:type="fixed"/>
        <w:tblLook w:val="04A0" w:firstRow="1" w:lastRow="0" w:firstColumn="1" w:lastColumn="0" w:noHBand="0" w:noVBand="1"/>
      </w:tblPr>
      <w:tblGrid>
        <w:gridCol w:w="1800"/>
        <w:gridCol w:w="3168"/>
        <w:gridCol w:w="3384"/>
        <w:gridCol w:w="1728"/>
      </w:tblGrid>
      <w:tr w:rsidR="009D519D" w14:paraId="040E182A" w14:textId="77777777">
        <w:trPr>
          <w:jc w:val="center"/>
        </w:trPr>
        <w:tc>
          <w:tcPr>
            <w:tcW w:w="1800" w:type="dxa"/>
            <w:shd w:val="clear" w:color="auto" w:fill="EAF1F6"/>
            <w:tcMar>
              <w:top w:w="110" w:type="dxa"/>
              <w:left w:w="110" w:type="dxa"/>
              <w:bottom w:w="110" w:type="dxa"/>
              <w:right w:w="110" w:type="dxa"/>
            </w:tcMar>
            <w:vAlign w:val="center"/>
          </w:tcPr>
          <w:p w14:paraId="688B91C9" w14:textId="77777777" w:rsidR="009D519D" w:rsidRDefault="00000000">
            <w:pPr>
              <w:spacing w:after="0"/>
              <w:jc w:val="center"/>
            </w:pPr>
            <w:r>
              <w:rPr>
                <w:b/>
                <w:color w:val="143C5A"/>
                <w:sz w:val="20"/>
              </w:rPr>
              <w:t>Lane</w:t>
            </w:r>
          </w:p>
        </w:tc>
        <w:tc>
          <w:tcPr>
            <w:tcW w:w="3168" w:type="dxa"/>
            <w:shd w:val="clear" w:color="auto" w:fill="EAF1F6"/>
            <w:tcMar>
              <w:top w:w="110" w:type="dxa"/>
              <w:left w:w="110" w:type="dxa"/>
              <w:bottom w:w="110" w:type="dxa"/>
              <w:right w:w="110" w:type="dxa"/>
            </w:tcMar>
            <w:vAlign w:val="center"/>
          </w:tcPr>
          <w:p w14:paraId="4D64BD3C" w14:textId="77777777" w:rsidR="009D519D" w:rsidRDefault="00000000">
            <w:pPr>
              <w:spacing w:after="0"/>
              <w:jc w:val="center"/>
            </w:pPr>
            <w:r>
              <w:rPr>
                <w:b/>
                <w:color w:val="143C5A"/>
                <w:sz w:val="20"/>
              </w:rPr>
              <w:t>Core idea</w:t>
            </w:r>
          </w:p>
        </w:tc>
        <w:tc>
          <w:tcPr>
            <w:tcW w:w="3384" w:type="dxa"/>
            <w:shd w:val="clear" w:color="auto" w:fill="EAF1F6"/>
            <w:tcMar>
              <w:top w:w="110" w:type="dxa"/>
              <w:left w:w="110" w:type="dxa"/>
              <w:bottom w:w="110" w:type="dxa"/>
              <w:right w:w="110" w:type="dxa"/>
            </w:tcMar>
            <w:vAlign w:val="center"/>
          </w:tcPr>
          <w:p w14:paraId="2CBC923F" w14:textId="77777777" w:rsidR="009D519D" w:rsidRDefault="00000000">
            <w:pPr>
              <w:spacing w:after="0"/>
              <w:jc w:val="center"/>
            </w:pPr>
            <w:r>
              <w:rPr>
                <w:b/>
                <w:color w:val="143C5A"/>
                <w:sz w:val="20"/>
              </w:rPr>
              <w:t>Data boundary</w:t>
            </w:r>
          </w:p>
        </w:tc>
        <w:tc>
          <w:tcPr>
            <w:tcW w:w="1728" w:type="dxa"/>
            <w:shd w:val="clear" w:color="auto" w:fill="EAF1F6"/>
            <w:tcMar>
              <w:top w:w="110" w:type="dxa"/>
              <w:left w:w="110" w:type="dxa"/>
              <w:bottom w:w="110" w:type="dxa"/>
              <w:right w:w="110" w:type="dxa"/>
            </w:tcMar>
            <w:vAlign w:val="center"/>
          </w:tcPr>
          <w:p w14:paraId="5943407E" w14:textId="77777777" w:rsidR="009D519D" w:rsidRDefault="00000000">
            <w:pPr>
              <w:spacing w:after="0"/>
              <w:jc w:val="center"/>
            </w:pPr>
            <w:r>
              <w:rPr>
                <w:b/>
                <w:color w:val="143C5A"/>
                <w:sz w:val="20"/>
              </w:rPr>
              <w:t>BYOK</w:t>
            </w:r>
          </w:p>
        </w:tc>
      </w:tr>
      <w:tr w:rsidR="009D519D" w14:paraId="04FCC4B6" w14:textId="77777777">
        <w:trPr>
          <w:jc w:val="center"/>
        </w:trPr>
        <w:tc>
          <w:tcPr>
            <w:tcW w:w="1800" w:type="dxa"/>
            <w:tcMar>
              <w:top w:w="85" w:type="dxa"/>
              <w:left w:w="100" w:type="dxa"/>
              <w:bottom w:w="85" w:type="dxa"/>
              <w:right w:w="100" w:type="dxa"/>
            </w:tcMar>
            <w:vAlign w:val="center"/>
          </w:tcPr>
          <w:p w14:paraId="2BC1B66F" w14:textId="77777777" w:rsidR="009D519D" w:rsidRDefault="00000000">
            <w:pPr>
              <w:spacing w:after="0" w:line="252" w:lineRule="auto"/>
              <w:jc w:val="center"/>
            </w:pPr>
            <w:r>
              <w:rPr>
                <w:b/>
                <w:color w:val="222222"/>
                <w:sz w:val="19"/>
              </w:rPr>
              <w:t>Deterministic</w:t>
            </w:r>
          </w:p>
        </w:tc>
        <w:tc>
          <w:tcPr>
            <w:tcW w:w="3168" w:type="dxa"/>
            <w:tcMar>
              <w:top w:w="85" w:type="dxa"/>
              <w:left w:w="100" w:type="dxa"/>
              <w:bottom w:w="85" w:type="dxa"/>
              <w:right w:w="100" w:type="dxa"/>
            </w:tcMar>
            <w:vAlign w:val="center"/>
          </w:tcPr>
          <w:p w14:paraId="41809C7C" w14:textId="77777777" w:rsidR="009D519D" w:rsidRDefault="00000000">
            <w:pPr>
              <w:spacing w:after="0" w:line="252" w:lineRule="auto"/>
            </w:pPr>
            <w:r>
              <w:rPr>
                <w:color w:val="222222"/>
                <w:sz w:val="19"/>
              </w:rPr>
              <w:t>No LLM. Rules, extraction, calculations, and templated outputs.</w:t>
            </w:r>
          </w:p>
        </w:tc>
        <w:tc>
          <w:tcPr>
            <w:tcW w:w="3384" w:type="dxa"/>
            <w:tcMar>
              <w:top w:w="85" w:type="dxa"/>
              <w:left w:w="100" w:type="dxa"/>
              <w:bottom w:w="85" w:type="dxa"/>
              <w:right w:w="100" w:type="dxa"/>
            </w:tcMar>
            <w:vAlign w:val="center"/>
          </w:tcPr>
          <w:p w14:paraId="7E002AEB" w14:textId="77777777" w:rsidR="009D519D" w:rsidRDefault="00000000">
            <w:pPr>
              <w:spacing w:after="0" w:line="252" w:lineRule="auto"/>
            </w:pPr>
            <w:r>
              <w:rPr>
                <w:color w:val="222222"/>
                <w:sz w:val="19"/>
              </w:rPr>
              <w:t>Nothing needs to leave. Internal only.</w:t>
            </w:r>
          </w:p>
        </w:tc>
        <w:tc>
          <w:tcPr>
            <w:tcW w:w="1728" w:type="dxa"/>
            <w:tcMar>
              <w:top w:w="85" w:type="dxa"/>
              <w:left w:w="100" w:type="dxa"/>
              <w:bottom w:w="85" w:type="dxa"/>
              <w:right w:w="100" w:type="dxa"/>
            </w:tcMar>
            <w:vAlign w:val="center"/>
          </w:tcPr>
          <w:p w14:paraId="677B6C75" w14:textId="77777777" w:rsidR="009D519D" w:rsidRDefault="00000000">
            <w:pPr>
              <w:spacing w:after="0" w:line="252" w:lineRule="auto"/>
              <w:jc w:val="center"/>
            </w:pPr>
            <w:r>
              <w:rPr>
                <w:color w:val="222222"/>
                <w:sz w:val="19"/>
              </w:rPr>
              <w:t>No</w:t>
            </w:r>
          </w:p>
        </w:tc>
      </w:tr>
      <w:tr w:rsidR="009D519D" w14:paraId="321F6676" w14:textId="77777777">
        <w:trPr>
          <w:jc w:val="center"/>
        </w:trPr>
        <w:tc>
          <w:tcPr>
            <w:tcW w:w="1800" w:type="dxa"/>
            <w:tcMar>
              <w:top w:w="85" w:type="dxa"/>
              <w:left w:w="100" w:type="dxa"/>
              <w:bottom w:w="85" w:type="dxa"/>
              <w:right w:w="100" w:type="dxa"/>
            </w:tcMar>
            <w:vAlign w:val="center"/>
          </w:tcPr>
          <w:p w14:paraId="7013256C" w14:textId="77777777" w:rsidR="009D519D" w:rsidRDefault="00000000">
            <w:pPr>
              <w:spacing w:after="0" w:line="252" w:lineRule="auto"/>
              <w:jc w:val="center"/>
            </w:pPr>
            <w:r>
              <w:rPr>
                <w:b/>
                <w:color w:val="222222"/>
                <w:sz w:val="19"/>
              </w:rPr>
              <w:t>Private</w:t>
            </w:r>
          </w:p>
        </w:tc>
        <w:tc>
          <w:tcPr>
            <w:tcW w:w="3168" w:type="dxa"/>
            <w:tcMar>
              <w:top w:w="85" w:type="dxa"/>
              <w:left w:w="100" w:type="dxa"/>
              <w:bottom w:w="85" w:type="dxa"/>
              <w:right w:w="100" w:type="dxa"/>
            </w:tcMar>
            <w:vAlign w:val="center"/>
          </w:tcPr>
          <w:p w14:paraId="298F9FFD" w14:textId="77777777" w:rsidR="009D519D" w:rsidRDefault="00000000">
            <w:pPr>
              <w:spacing w:after="0" w:line="252" w:lineRule="auto"/>
            </w:pPr>
            <w:r>
              <w:rPr>
                <w:color w:val="222222"/>
                <w:sz w:val="19"/>
              </w:rPr>
              <w:t>Sensitive record AI stays under Consentext control.</w:t>
            </w:r>
          </w:p>
        </w:tc>
        <w:tc>
          <w:tcPr>
            <w:tcW w:w="3384" w:type="dxa"/>
            <w:tcMar>
              <w:top w:w="85" w:type="dxa"/>
              <w:left w:w="100" w:type="dxa"/>
              <w:bottom w:w="85" w:type="dxa"/>
              <w:right w:w="100" w:type="dxa"/>
            </w:tcMar>
            <w:vAlign w:val="center"/>
          </w:tcPr>
          <w:p w14:paraId="05F97B37" w14:textId="77777777" w:rsidR="009D519D" w:rsidRDefault="00000000">
            <w:pPr>
              <w:spacing w:after="0" w:line="252" w:lineRule="auto"/>
            </w:pPr>
            <w:r>
              <w:rPr>
                <w:color w:val="222222"/>
                <w:sz w:val="19"/>
              </w:rPr>
              <w:t>Sensitive record data does not leave in this lane.</w:t>
            </w:r>
          </w:p>
        </w:tc>
        <w:tc>
          <w:tcPr>
            <w:tcW w:w="1728" w:type="dxa"/>
            <w:tcMar>
              <w:top w:w="85" w:type="dxa"/>
              <w:left w:w="100" w:type="dxa"/>
              <w:bottom w:w="85" w:type="dxa"/>
              <w:right w:w="100" w:type="dxa"/>
            </w:tcMar>
            <w:vAlign w:val="center"/>
          </w:tcPr>
          <w:p w14:paraId="4EF89956" w14:textId="77777777" w:rsidR="009D519D" w:rsidRDefault="00000000">
            <w:pPr>
              <w:spacing w:after="0" w:line="252" w:lineRule="auto"/>
              <w:jc w:val="center"/>
            </w:pPr>
            <w:r>
              <w:rPr>
                <w:color w:val="222222"/>
                <w:sz w:val="19"/>
              </w:rPr>
              <w:t>No</w:t>
            </w:r>
          </w:p>
        </w:tc>
      </w:tr>
      <w:tr w:rsidR="009D519D" w14:paraId="3ED5DEE4" w14:textId="77777777">
        <w:trPr>
          <w:jc w:val="center"/>
        </w:trPr>
        <w:tc>
          <w:tcPr>
            <w:tcW w:w="1800" w:type="dxa"/>
            <w:tcMar>
              <w:top w:w="85" w:type="dxa"/>
              <w:left w:w="100" w:type="dxa"/>
              <w:bottom w:w="85" w:type="dxa"/>
              <w:right w:w="100" w:type="dxa"/>
            </w:tcMar>
            <w:vAlign w:val="center"/>
          </w:tcPr>
          <w:p w14:paraId="79AA9E1F" w14:textId="77777777" w:rsidR="009D519D" w:rsidRDefault="00000000">
            <w:pPr>
              <w:spacing w:after="0" w:line="252" w:lineRule="auto"/>
              <w:jc w:val="center"/>
            </w:pPr>
            <w:r>
              <w:rPr>
                <w:b/>
                <w:color w:val="222222"/>
                <w:sz w:val="19"/>
              </w:rPr>
              <w:t>Private+</w:t>
            </w:r>
          </w:p>
        </w:tc>
        <w:tc>
          <w:tcPr>
            <w:tcW w:w="3168" w:type="dxa"/>
            <w:tcMar>
              <w:top w:w="85" w:type="dxa"/>
              <w:left w:w="100" w:type="dxa"/>
              <w:bottom w:w="85" w:type="dxa"/>
              <w:right w:w="100" w:type="dxa"/>
            </w:tcMar>
            <w:vAlign w:val="center"/>
          </w:tcPr>
          <w:p w14:paraId="218102A0" w14:textId="77777777" w:rsidR="009D519D" w:rsidRDefault="00000000">
            <w:pPr>
              <w:spacing w:after="0" w:line="252" w:lineRule="auto"/>
            </w:pPr>
            <w:r>
              <w:rPr>
                <w:color w:val="222222"/>
                <w:sz w:val="19"/>
              </w:rPr>
              <w:t>Raw record stays internal; outside AI sees only an approved reduced payload.</w:t>
            </w:r>
          </w:p>
        </w:tc>
        <w:tc>
          <w:tcPr>
            <w:tcW w:w="3384" w:type="dxa"/>
            <w:tcMar>
              <w:top w:w="85" w:type="dxa"/>
              <w:left w:w="100" w:type="dxa"/>
              <w:bottom w:w="85" w:type="dxa"/>
              <w:right w:w="100" w:type="dxa"/>
            </w:tcMar>
            <w:vAlign w:val="center"/>
          </w:tcPr>
          <w:p w14:paraId="6D4E753C" w14:textId="77777777" w:rsidR="009D519D" w:rsidRDefault="00000000">
            <w:pPr>
              <w:spacing w:after="0" w:line="252" w:lineRule="auto"/>
            </w:pPr>
            <w:r>
              <w:rPr>
                <w:color w:val="222222"/>
                <w:sz w:val="19"/>
              </w:rPr>
              <w:t>Only minimum-necessary features may leave when allowed.</w:t>
            </w:r>
          </w:p>
        </w:tc>
        <w:tc>
          <w:tcPr>
            <w:tcW w:w="1728" w:type="dxa"/>
            <w:tcMar>
              <w:top w:w="85" w:type="dxa"/>
              <w:left w:w="100" w:type="dxa"/>
              <w:bottom w:w="85" w:type="dxa"/>
              <w:right w:w="100" w:type="dxa"/>
            </w:tcMar>
            <w:vAlign w:val="center"/>
          </w:tcPr>
          <w:p w14:paraId="75F47914" w14:textId="77777777" w:rsidR="009D519D" w:rsidRDefault="00000000">
            <w:pPr>
              <w:spacing w:after="0" w:line="252" w:lineRule="auto"/>
              <w:jc w:val="center"/>
            </w:pPr>
            <w:r>
              <w:rPr>
                <w:color w:val="222222"/>
                <w:sz w:val="19"/>
              </w:rPr>
              <w:t>Possible, secondary</w:t>
            </w:r>
          </w:p>
        </w:tc>
      </w:tr>
      <w:tr w:rsidR="009D519D" w14:paraId="5E1CFA69" w14:textId="77777777">
        <w:trPr>
          <w:jc w:val="center"/>
        </w:trPr>
        <w:tc>
          <w:tcPr>
            <w:tcW w:w="1800" w:type="dxa"/>
            <w:tcMar>
              <w:top w:w="85" w:type="dxa"/>
              <w:left w:w="100" w:type="dxa"/>
              <w:bottom w:w="85" w:type="dxa"/>
              <w:right w:w="100" w:type="dxa"/>
            </w:tcMar>
            <w:vAlign w:val="center"/>
          </w:tcPr>
          <w:p w14:paraId="2DD49696" w14:textId="77777777" w:rsidR="009D519D" w:rsidRDefault="00000000">
            <w:pPr>
              <w:spacing w:after="0" w:line="252" w:lineRule="auto"/>
              <w:jc w:val="center"/>
            </w:pPr>
            <w:r>
              <w:rPr>
                <w:b/>
                <w:color w:val="222222"/>
                <w:sz w:val="19"/>
              </w:rPr>
              <w:t>Max Intelligence</w:t>
            </w:r>
          </w:p>
        </w:tc>
        <w:tc>
          <w:tcPr>
            <w:tcW w:w="3168" w:type="dxa"/>
            <w:tcMar>
              <w:top w:w="85" w:type="dxa"/>
              <w:left w:w="100" w:type="dxa"/>
              <w:bottom w:w="85" w:type="dxa"/>
              <w:right w:w="100" w:type="dxa"/>
            </w:tcMar>
            <w:vAlign w:val="center"/>
          </w:tcPr>
          <w:p w14:paraId="4FA1D674" w14:textId="77777777" w:rsidR="009D519D" w:rsidRDefault="00000000">
            <w:pPr>
              <w:spacing w:after="0" w:line="252" w:lineRule="auto"/>
            </w:pPr>
            <w:r>
              <w:rPr>
                <w:color w:val="222222"/>
                <w:sz w:val="19"/>
              </w:rPr>
              <w:t>Broader outside-model use for users who want maximum capability.</w:t>
            </w:r>
          </w:p>
        </w:tc>
        <w:tc>
          <w:tcPr>
            <w:tcW w:w="3384" w:type="dxa"/>
            <w:tcMar>
              <w:top w:w="85" w:type="dxa"/>
              <w:left w:w="100" w:type="dxa"/>
              <w:bottom w:w="85" w:type="dxa"/>
              <w:right w:w="100" w:type="dxa"/>
            </w:tcMar>
            <w:vAlign w:val="center"/>
          </w:tcPr>
          <w:p w14:paraId="0EACF171" w14:textId="77777777" w:rsidR="009D519D" w:rsidRDefault="00000000">
            <w:pPr>
              <w:spacing w:after="0" w:line="252" w:lineRule="auto"/>
            </w:pPr>
            <w:r>
              <w:rPr>
                <w:color w:val="222222"/>
                <w:sz w:val="19"/>
              </w:rPr>
              <w:t>More context may leave externally, with clear user choice.</w:t>
            </w:r>
          </w:p>
        </w:tc>
        <w:tc>
          <w:tcPr>
            <w:tcW w:w="1728" w:type="dxa"/>
            <w:tcMar>
              <w:top w:w="85" w:type="dxa"/>
              <w:left w:w="100" w:type="dxa"/>
              <w:bottom w:w="85" w:type="dxa"/>
              <w:right w:w="100" w:type="dxa"/>
            </w:tcMar>
            <w:vAlign w:val="center"/>
          </w:tcPr>
          <w:p w14:paraId="1BB7329A" w14:textId="77777777" w:rsidR="009D519D" w:rsidRDefault="00000000">
            <w:pPr>
              <w:spacing w:after="0" w:line="252" w:lineRule="auto"/>
              <w:jc w:val="center"/>
            </w:pPr>
            <w:r>
              <w:rPr>
                <w:color w:val="222222"/>
                <w:sz w:val="19"/>
              </w:rPr>
              <w:t>Natural fit</w:t>
            </w:r>
          </w:p>
        </w:tc>
      </w:tr>
    </w:tbl>
    <w:p w14:paraId="18BF7E64" w14:textId="77777777" w:rsidR="009D519D" w:rsidRDefault="009D519D"/>
    <w:tbl>
      <w:tblPr>
        <w:tblW w:w="0" w:type="auto"/>
        <w:jc w:val="center"/>
        <w:tblBorders>
          <w:top w:val="single" w:sz="8" w:space="0" w:color="C4D5E3"/>
          <w:left w:val="single" w:sz="8" w:space="0" w:color="C4D5E3"/>
          <w:bottom w:val="single" w:sz="8" w:space="0" w:color="C4D5E3"/>
          <w:right w:val="single" w:sz="8" w:space="0" w:color="C4D5E3"/>
          <w:insideH w:val="single" w:sz="8" w:space="0" w:color="C4D5E3"/>
          <w:insideV w:val="single" w:sz="8" w:space="0" w:color="C4D5E3"/>
        </w:tblBorders>
        <w:tblLook w:val="04A0" w:firstRow="1" w:lastRow="0" w:firstColumn="1" w:lastColumn="0" w:noHBand="0" w:noVBand="1"/>
      </w:tblPr>
      <w:tblGrid>
        <w:gridCol w:w="9772"/>
      </w:tblGrid>
      <w:tr w:rsidR="009D519D" w14:paraId="39FCD026" w14:textId="77777777">
        <w:trPr>
          <w:jc w:val="center"/>
        </w:trPr>
        <w:tc>
          <w:tcPr>
            <w:tcW w:w="9792" w:type="dxa"/>
            <w:shd w:val="clear" w:color="auto" w:fill="FBF5F2"/>
            <w:tcMar>
              <w:top w:w="120" w:type="dxa"/>
              <w:left w:w="140" w:type="dxa"/>
              <w:bottom w:w="120" w:type="dxa"/>
              <w:right w:w="140" w:type="dxa"/>
            </w:tcMar>
          </w:tcPr>
          <w:p w14:paraId="0560798E" w14:textId="77777777" w:rsidR="009D519D" w:rsidRDefault="00000000">
            <w:pPr>
              <w:spacing w:after="60"/>
            </w:pPr>
            <w:r>
              <w:rPr>
                <w:b/>
                <w:color w:val="143C5A"/>
                <w:sz w:val="22"/>
              </w:rPr>
              <w:t>Off the board: direct outside AI UI handoff</w:t>
            </w:r>
          </w:p>
          <w:p w14:paraId="6123EB0A" w14:textId="77777777" w:rsidR="009D519D" w:rsidRDefault="00000000">
            <w:pPr>
              <w:spacing w:after="80" w:line="264" w:lineRule="auto"/>
            </w:pPr>
            <w:r>
              <w:rPr>
                <w:color w:val="222222"/>
                <w:sz w:val="20"/>
              </w:rPr>
              <w:t>This means the user leaves Consentext and continues directly in an outside AI interface such as ChatGPT, Claude, or another model lab UI. Once that handoff happens, Consentext is no longer in the middle, so it cannot continue enforcing routing, minimization, redaction, TTL, or audit after the export. That is why this path is off the board as a core Consentext offering right now.</w:t>
            </w:r>
          </w:p>
        </w:tc>
      </w:tr>
    </w:tbl>
    <w:p w14:paraId="32CA22C3" w14:textId="77777777" w:rsidR="009D519D" w:rsidRDefault="009D519D"/>
    <w:p w14:paraId="0FA46E55" w14:textId="77777777" w:rsidR="009D519D" w:rsidRDefault="00000000">
      <w:pPr>
        <w:spacing w:before="160" w:after="80"/>
      </w:pPr>
      <w:r>
        <w:rPr>
          <w:b/>
          <w:color w:val="143C5A"/>
          <w:sz w:val="32"/>
        </w:rPr>
        <w:t>3. The non-negotiable boundary</w:t>
      </w:r>
    </w:p>
    <w:p w14:paraId="32295E0A" w14:textId="77777777" w:rsidR="009D519D" w:rsidRDefault="00000000">
      <w:pPr>
        <w:spacing w:after="120"/>
      </w:pPr>
      <w:r>
        <w:rPr>
          <w:color w:val="222222"/>
        </w:rPr>
        <w:t>The gateway is valuable because it creates control before a request is processed. It does not create magic after a payload has already been sent outside.</w:t>
      </w:r>
    </w:p>
    <w:tbl>
      <w:tblPr>
        <w:tblW w:w="0" w:type="auto"/>
        <w:jc w:val="center"/>
        <w:tblBorders>
          <w:top w:val="single" w:sz="6" w:space="0" w:color="D6DEE6"/>
          <w:left w:val="single" w:sz="6" w:space="0" w:color="D6DEE6"/>
          <w:bottom w:val="single" w:sz="6" w:space="0" w:color="D6DEE6"/>
          <w:right w:val="single" w:sz="6" w:space="0" w:color="D6DEE6"/>
          <w:insideH w:val="single" w:sz="6" w:space="0" w:color="D6DEE6"/>
          <w:insideV w:val="single" w:sz="6" w:space="0" w:color="D6DEE6"/>
        </w:tblBorders>
        <w:tblLayout w:type="fixed"/>
        <w:tblLook w:val="04A0" w:firstRow="1" w:lastRow="0" w:firstColumn="1" w:lastColumn="0" w:noHBand="0" w:noVBand="1"/>
      </w:tblPr>
      <w:tblGrid>
        <w:gridCol w:w="4392"/>
        <w:gridCol w:w="5688"/>
      </w:tblGrid>
      <w:tr w:rsidR="009D519D" w14:paraId="5BDD8D05" w14:textId="77777777">
        <w:trPr>
          <w:jc w:val="center"/>
        </w:trPr>
        <w:tc>
          <w:tcPr>
            <w:tcW w:w="4392" w:type="dxa"/>
            <w:shd w:val="clear" w:color="auto" w:fill="EAF1F6"/>
            <w:tcMar>
              <w:top w:w="110" w:type="dxa"/>
              <w:left w:w="120" w:type="dxa"/>
              <w:bottom w:w="110" w:type="dxa"/>
              <w:right w:w="120" w:type="dxa"/>
            </w:tcMar>
          </w:tcPr>
          <w:p w14:paraId="78097115" w14:textId="77777777" w:rsidR="009D519D" w:rsidRDefault="00000000">
            <w:pPr>
              <w:spacing w:after="0"/>
              <w:jc w:val="center"/>
            </w:pPr>
            <w:r>
              <w:rPr>
                <w:b/>
                <w:color w:val="143C5A"/>
                <w:sz w:val="19"/>
              </w:rPr>
              <w:t>What Consentext can realistically protect</w:t>
            </w:r>
          </w:p>
        </w:tc>
        <w:tc>
          <w:tcPr>
            <w:tcW w:w="5688" w:type="dxa"/>
            <w:shd w:val="clear" w:color="auto" w:fill="F7ECE7"/>
            <w:tcMar>
              <w:top w:w="110" w:type="dxa"/>
              <w:left w:w="120" w:type="dxa"/>
              <w:bottom w:w="110" w:type="dxa"/>
              <w:right w:w="120" w:type="dxa"/>
            </w:tcMar>
          </w:tcPr>
          <w:p w14:paraId="1D442F76" w14:textId="77777777" w:rsidR="009D519D" w:rsidRDefault="00000000">
            <w:pPr>
              <w:spacing w:after="0"/>
              <w:jc w:val="center"/>
            </w:pPr>
            <w:r>
              <w:rPr>
                <w:b/>
                <w:color w:val="8A4A30"/>
                <w:sz w:val="19"/>
              </w:rPr>
              <w:t>What Consentext cannot fully control</w:t>
            </w:r>
          </w:p>
        </w:tc>
      </w:tr>
      <w:tr w:rsidR="009D519D" w14:paraId="0EE84665" w14:textId="77777777">
        <w:trPr>
          <w:jc w:val="center"/>
        </w:trPr>
        <w:tc>
          <w:tcPr>
            <w:tcW w:w="4392" w:type="dxa"/>
            <w:tcMar>
              <w:top w:w="90" w:type="dxa"/>
              <w:left w:w="110" w:type="dxa"/>
              <w:bottom w:w="90" w:type="dxa"/>
              <w:right w:w="110" w:type="dxa"/>
            </w:tcMar>
          </w:tcPr>
          <w:p w14:paraId="5D77D9C6" w14:textId="77777777" w:rsidR="009D519D" w:rsidRDefault="00000000">
            <w:pPr>
              <w:spacing w:after="0"/>
            </w:pPr>
            <w:r>
              <w:rPr>
                <w:color w:val="222222"/>
                <w:sz w:val="19"/>
              </w:rPr>
              <w:t>Whether outside AI is used at all.</w:t>
            </w:r>
          </w:p>
        </w:tc>
        <w:tc>
          <w:tcPr>
            <w:tcW w:w="5688" w:type="dxa"/>
            <w:tcMar>
              <w:top w:w="90" w:type="dxa"/>
              <w:left w:w="110" w:type="dxa"/>
              <w:bottom w:w="90" w:type="dxa"/>
              <w:right w:w="110" w:type="dxa"/>
            </w:tcMar>
          </w:tcPr>
          <w:p w14:paraId="59EA5C6A" w14:textId="77777777" w:rsidR="009D519D" w:rsidRDefault="00000000">
            <w:pPr>
              <w:spacing w:after="0"/>
            </w:pPr>
            <w:r>
              <w:rPr>
                <w:color w:val="222222"/>
                <w:sz w:val="19"/>
              </w:rPr>
              <w:t>What an outside provider does with a payload after Consentext sends it.</w:t>
            </w:r>
          </w:p>
        </w:tc>
      </w:tr>
      <w:tr w:rsidR="009D519D" w14:paraId="18202ECD" w14:textId="77777777">
        <w:trPr>
          <w:jc w:val="center"/>
        </w:trPr>
        <w:tc>
          <w:tcPr>
            <w:tcW w:w="4392" w:type="dxa"/>
            <w:tcMar>
              <w:top w:w="90" w:type="dxa"/>
              <w:left w:w="110" w:type="dxa"/>
              <w:bottom w:w="90" w:type="dxa"/>
              <w:right w:w="110" w:type="dxa"/>
            </w:tcMar>
          </w:tcPr>
          <w:p w14:paraId="7FE15C24" w14:textId="77777777" w:rsidR="009D519D" w:rsidRDefault="00000000">
            <w:pPr>
              <w:spacing w:after="0"/>
            </w:pPr>
            <w:r>
              <w:rPr>
                <w:color w:val="222222"/>
                <w:sz w:val="19"/>
              </w:rPr>
              <w:t>Which data classes may be used in each lane.</w:t>
            </w:r>
          </w:p>
        </w:tc>
        <w:tc>
          <w:tcPr>
            <w:tcW w:w="5688" w:type="dxa"/>
            <w:tcMar>
              <w:top w:w="90" w:type="dxa"/>
              <w:left w:w="110" w:type="dxa"/>
              <w:bottom w:w="90" w:type="dxa"/>
              <w:right w:w="110" w:type="dxa"/>
            </w:tcMar>
          </w:tcPr>
          <w:p w14:paraId="0398CDEA" w14:textId="77777777" w:rsidR="009D519D" w:rsidRDefault="00000000">
            <w:pPr>
              <w:spacing w:after="0"/>
            </w:pPr>
            <w:r>
              <w:rPr>
                <w:color w:val="222222"/>
                <w:sz w:val="19"/>
              </w:rPr>
              <w:t>A direct handoff flow once the user leaves Consentext and continues elsewhere.</w:t>
            </w:r>
          </w:p>
        </w:tc>
      </w:tr>
      <w:tr w:rsidR="009D519D" w14:paraId="759DE747" w14:textId="77777777">
        <w:trPr>
          <w:jc w:val="center"/>
        </w:trPr>
        <w:tc>
          <w:tcPr>
            <w:tcW w:w="4392" w:type="dxa"/>
            <w:tcMar>
              <w:top w:w="90" w:type="dxa"/>
              <w:left w:w="110" w:type="dxa"/>
              <w:bottom w:w="90" w:type="dxa"/>
              <w:right w:w="110" w:type="dxa"/>
            </w:tcMar>
          </w:tcPr>
          <w:p w14:paraId="25B02912" w14:textId="77777777" w:rsidR="009D519D" w:rsidRDefault="00000000">
            <w:pPr>
              <w:spacing w:after="0"/>
            </w:pPr>
            <w:r>
              <w:rPr>
                <w:color w:val="222222"/>
                <w:sz w:val="19"/>
              </w:rPr>
              <w:t>Whether user approval is required before anything leaves.</w:t>
            </w:r>
          </w:p>
        </w:tc>
        <w:tc>
          <w:tcPr>
            <w:tcW w:w="5688" w:type="dxa"/>
            <w:tcMar>
              <w:top w:w="90" w:type="dxa"/>
              <w:left w:w="110" w:type="dxa"/>
              <w:bottom w:w="90" w:type="dxa"/>
              <w:right w:w="110" w:type="dxa"/>
            </w:tcMar>
          </w:tcPr>
          <w:p w14:paraId="72244CA9" w14:textId="77777777" w:rsidR="009D519D" w:rsidRDefault="00000000">
            <w:pPr>
              <w:spacing w:after="0"/>
            </w:pPr>
            <w:r>
              <w:rPr>
                <w:color w:val="222222"/>
                <w:sz w:val="19"/>
              </w:rPr>
              <w:t>A claim that 'nothing leaves' in any lane that intentionally sends data outward.</w:t>
            </w:r>
          </w:p>
        </w:tc>
      </w:tr>
    </w:tbl>
    <w:p w14:paraId="45BE809C" w14:textId="77777777" w:rsidR="009D519D" w:rsidRDefault="009D519D"/>
    <w:p w14:paraId="3858B737" w14:textId="77777777" w:rsidR="009D519D" w:rsidRDefault="00000000">
      <w:pPr>
        <w:spacing w:before="160" w:after="80"/>
      </w:pPr>
      <w:r>
        <w:rPr>
          <w:b/>
          <w:color w:val="143C5A"/>
          <w:sz w:val="32"/>
        </w:rPr>
        <w:t>4. The four lanes, in plain English</w:t>
      </w:r>
    </w:p>
    <w:p w14:paraId="3E798AF4" w14:textId="77777777" w:rsidR="009D519D" w:rsidRDefault="00000000">
      <w:pPr>
        <w:spacing w:before="120" w:after="40"/>
      </w:pPr>
      <w:r>
        <w:rPr>
          <w:b/>
          <w:color w:val="143C5A"/>
          <w:sz w:val="25"/>
        </w:rPr>
        <w:t>4.1 Deterministic lane</w:t>
      </w:r>
    </w:p>
    <w:p w14:paraId="57D4818A" w14:textId="77777777" w:rsidR="009D519D" w:rsidRDefault="00000000">
      <w:pPr>
        <w:spacing w:after="60"/>
      </w:pPr>
      <w:r>
        <w:rPr>
          <w:color w:val="222222"/>
        </w:rPr>
        <w:t>This is the no-LLM lane. It uses rules, software, extraction, calculations, thresholds, timelines, and templated outputs instead of a probabilistic language model.</w:t>
      </w:r>
    </w:p>
    <w:p w14:paraId="0E7A6F3E" w14:textId="77777777" w:rsidR="009D519D" w:rsidRDefault="00000000">
      <w:pPr>
        <w:pStyle w:val="ListBullet"/>
        <w:spacing w:after="40"/>
      </w:pPr>
      <w:r>
        <w:t>Why it belongs: it anchors trust. Facts, trends, medication checks, care-gap detection, and structured summaries should not need generative AI to be useful.</w:t>
      </w:r>
    </w:p>
    <w:p w14:paraId="0A0A446A" w14:textId="77777777" w:rsidR="009D519D" w:rsidRDefault="00000000">
      <w:pPr>
        <w:pStyle w:val="ListBullet"/>
        <w:spacing w:after="40"/>
      </w:pPr>
      <w:r>
        <w:t>What the user experiences: a conservative, repeatable mode that feels dependable and auditable.</w:t>
      </w:r>
    </w:p>
    <w:p w14:paraId="46EF5466" w14:textId="77777777" w:rsidR="009D519D" w:rsidRDefault="00000000">
      <w:pPr>
        <w:pStyle w:val="ListBullet"/>
        <w:spacing w:after="40"/>
      </w:pPr>
      <w:r>
        <w:t>What leaves the system: nothing needs to leave for this lane to work.</w:t>
      </w:r>
    </w:p>
    <w:p w14:paraId="6685A83E" w14:textId="77777777" w:rsidR="009D519D" w:rsidRDefault="00000000">
      <w:pPr>
        <w:pStyle w:val="ListBullet"/>
        <w:spacing w:after="40"/>
      </w:pPr>
      <w:r>
        <w:t>BYOK: not applicable.</w:t>
      </w:r>
    </w:p>
    <w:p w14:paraId="30942E89" w14:textId="77777777" w:rsidR="009D519D" w:rsidRDefault="00000000">
      <w:pPr>
        <w:pStyle w:val="ListBullet"/>
        <w:spacing w:after="40"/>
      </w:pPr>
      <w:r>
        <w:t>Strategic value: this is not a fallback. It is a real product lane for cautious users and for fact-heavy tasks.</w:t>
      </w:r>
    </w:p>
    <w:p w14:paraId="3FCA19B5" w14:textId="77777777" w:rsidR="009D519D" w:rsidRDefault="00000000">
      <w:pPr>
        <w:spacing w:before="120" w:after="40"/>
      </w:pPr>
      <w:r>
        <w:rPr>
          <w:b/>
          <w:color w:val="143C5A"/>
          <w:sz w:val="25"/>
        </w:rPr>
        <w:t>4.2 Private lane</w:t>
      </w:r>
    </w:p>
    <w:p w14:paraId="474909B9" w14:textId="77777777" w:rsidR="009D519D" w:rsidRDefault="00000000">
      <w:pPr>
        <w:spacing w:after="60"/>
      </w:pPr>
      <w:r>
        <w:rPr>
          <w:color w:val="222222"/>
        </w:rPr>
        <w:t>This is the strong-protection lane for sensitive health-record AI. AI is allowed, but the sensitive record work stays under Consentext control. The model runs on-device, in a controlled runtime, or in Consentext-controlled infrastructure.</w:t>
      </w:r>
    </w:p>
    <w:p w14:paraId="5806D74C" w14:textId="77777777" w:rsidR="009D519D" w:rsidRDefault="00000000">
      <w:pPr>
        <w:pStyle w:val="ListBullet"/>
        <w:spacing w:after="40"/>
      </w:pPr>
      <w:r>
        <w:t>Why it belongs: it gives selective users a genuine protected option, not just a softer privacy promise.</w:t>
      </w:r>
    </w:p>
    <w:p w14:paraId="197E5754" w14:textId="77777777" w:rsidR="009D519D" w:rsidRDefault="00000000">
      <w:pPr>
        <w:pStyle w:val="ListBullet"/>
        <w:spacing w:after="40"/>
      </w:pPr>
      <w:r>
        <w:t>What the user experiences: 'help me understand my record' without sending the sensitive record outward.</w:t>
      </w:r>
    </w:p>
    <w:p w14:paraId="1EE8E764" w14:textId="77777777" w:rsidR="009D519D" w:rsidRDefault="00000000">
      <w:pPr>
        <w:pStyle w:val="ListBullet"/>
        <w:spacing w:after="40"/>
      </w:pPr>
      <w:r>
        <w:t>What leaves the system: sensitive record data does not leave in this lane.</w:t>
      </w:r>
    </w:p>
    <w:p w14:paraId="6801B1CE" w14:textId="77777777" w:rsidR="009D519D" w:rsidRDefault="00000000">
      <w:pPr>
        <w:pStyle w:val="ListBullet"/>
        <w:spacing w:after="40"/>
      </w:pPr>
      <w:r>
        <w:t>Is this 'our own LLM'?: in practical terms, yes - this is Consentext's controlled model lane. It can start with an open-weight or licensed model that Consentext runs itself and evolve over time. It does not require training a frontier model from scratch on day one.</w:t>
      </w:r>
    </w:p>
    <w:p w14:paraId="240F1ACF" w14:textId="77777777" w:rsidR="009D519D" w:rsidRDefault="00000000">
      <w:pPr>
        <w:pStyle w:val="ListBullet"/>
        <w:spacing w:after="40"/>
      </w:pPr>
      <w:r>
        <w:t>BYOK: not appropriate here.</w:t>
      </w:r>
    </w:p>
    <w:p w14:paraId="72842B0C" w14:textId="77777777" w:rsidR="009D519D" w:rsidRDefault="00000000">
      <w:pPr>
        <w:pStyle w:val="ListBullet"/>
        <w:spacing w:after="40"/>
      </w:pPr>
      <w:r>
        <w:t>Strategic value: this is where the long-term moat can become real - controlled inference, record-aware policy enforcement, and trust around sensitive health data.</w:t>
      </w:r>
    </w:p>
    <w:p w14:paraId="53745FDF" w14:textId="77777777" w:rsidR="009D519D" w:rsidRDefault="00000000">
      <w:pPr>
        <w:spacing w:before="120" w:after="40"/>
      </w:pPr>
      <w:r>
        <w:rPr>
          <w:b/>
          <w:color w:val="143C5A"/>
          <w:sz w:val="25"/>
        </w:rPr>
        <w:t>4.3 Private+ lane</w:t>
      </w:r>
    </w:p>
    <w:p w14:paraId="328ED93C" w14:textId="77777777" w:rsidR="009D519D" w:rsidRDefault="00000000">
      <w:pPr>
        <w:spacing w:after="60"/>
      </w:pPr>
      <w:r>
        <w:rPr>
          <w:color w:val="222222"/>
        </w:rPr>
        <w:t>This is the balanced middle lane. The raw record stays internal. Consentext may create a reduced, minimum-necessary, de-identified feature payload for an outside model when the user chooses this lane and policy allows it.</w:t>
      </w:r>
    </w:p>
    <w:p w14:paraId="2D30A9DD" w14:textId="77777777" w:rsidR="009D519D" w:rsidRDefault="00000000">
      <w:pPr>
        <w:pStyle w:val="ListBullet"/>
        <w:spacing w:after="40"/>
      </w:pPr>
      <w:r>
        <w:t>Why it belongs: it gives users more external-model power without turning the full record into an outside payload.</w:t>
      </w:r>
    </w:p>
    <w:p w14:paraId="3EF15FAC" w14:textId="77777777" w:rsidR="009D519D" w:rsidRDefault="00000000">
      <w:pPr>
        <w:pStyle w:val="ListBullet"/>
        <w:spacing w:after="40"/>
      </w:pPr>
      <w:r>
        <w:t>What the user experiences: a practical balance between privacy and richer AI assistance.</w:t>
      </w:r>
    </w:p>
    <w:p w14:paraId="4CF021E6" w14:textId="77777777" w:rsidR="009D519D" w:rsidRDefault="00000000">
      <w:pPr>
        <w:pStyle w:val="ListBullet"/>
        <w:spacing w:after="40"/>
      </w:pPr>
      <w:r>
        <w:t>What may leave the system: not the full record; only the reduced payload that Consentext deliberately allows.</w:t>
      </w:r>
    </w:p>
    <w:p w14:paraId="33515B48" w14:textId="77777777" w:rsidR="009D519D" w:rsidRDefault="00000000">
      <w:pPr>
        <w:pStyle w:val="ListBullet"/>
        <w:spacing w:after="40"/>
      </w:pPr>
      <w:r>
        <w:t>Examples of what reduced payloads could look like: age range instead of date of birth, condition categories instead of full notes, lab trends instead of complete record packets, and generalized timing instead of exact identifiers.</w:t>
      </w:r>
    </w:p>
    <w:p w14:paraId="5327B41E" w14:textId="77777777" w:rsidR="009D519D" w:rsidRDefault="00000000">
      <w:pPr>
        <w:pStyle w:val="ListBullet"/>
        <w:spacing w:after="40"/>
      </w:pPr>
      <w:r>
        <w:t>BYOK: possible here, but only as a secondary connection method for the external portion while Consentext remains in the middle.</w:t>
      </w:r>
    </w:p>
    <w:p w14:paraId="3535D05F" w14:textId="77777777" w:rsidR="009D519D" w:rsidRDefault="00000000">
      <w:pPr>
        <w:pStyle w:val="ListBullet"/>
        <w:spacing w:after="40"/>
      </w:pPr>
      <w:r>
        <w:t>Strategic value: this is likely the bridge between strict protection and broad consumer adoption.</w:t>
      </w:r>
    </w:p>
    <w:p w14:paraId="6C878E72" w14:textId="77777777" w:rsidR="009D519D" w:rsidRDefault="00000000">
      <w:pPr>
        <w:spacing w:before="120" w:after="40"/>
      </w:pPr>
      <w:r>
        <w:rPr>
          <w:b/>
          <w:color w:val="143C5A"/>
          <w:sz w:val="25"/>
        </w:rPr>
        <w:t>4.4 Max Intelligence lane</w:t>
      </w:r>
    </w:p>
    <w:p w14:paraId="2770A5A0" w14:textId="77777777" w:rsidR="009D519D" w:rsidRDefault="00000000">
      <w:pPr>
        <w:spacing w:after="60"/>
      </w:pPr>
      <w:r>
        <w:rPr>
          <w:color w:val="222222"/>
        </w:rPr>
        <w:t>This is the broadest outside-model lane. It is for users who want maximum external capability and are willing to accept a weaker privacy boundary in exchange.</w:t>
      </w:r>
    </w:p>
    <w:p w14:paraId="278EA87E" w14:textId="77777777" w:rsidR="009D519D" w:rsidRDefault="00000000">
      <w:pPr>
        <w:pStyle w:val="ListBullet"/>
        <w:spacing w:after="40"/>
      </w:pPr>
      <w:r>
        <w:t>Why it belongs: consumer behavior is moving toward comfort with AI, and Consentext should not force every user into the same trust posture.</w:t>
      </w:r>
    </w:p>
    <w:p w14:paraId="26E2BA8C" w14:textId="77777777" w:rsidR="009D519D" w:rsidRDefault="00000000">
      <w:pPr>
        <w:pStyle w:val="ListBullet"/>
        <w:spacing w:after="40"/>
      </w:pPr>
      <w:r>
        <w:t>What the user experiences: the richest outside-model assistance that Consentext is willing to support.</w:t>
      </w:r>
    </w:p>
    <w:p w14:paraId="631B5F5B" w14:textId="77777777" w:rsidR="009D519D" w:rsidRDefault="00000000">
      <w:pPr>
        <w:pStyle w:val="ListBullet"/>
        <w:spacing w:after="40"/>
      </w:pPr>
      <w:r>
        <w:t>What may leave the system: more context may leave externally than in Private+.</w:t>
      </w:r>
    </w:p>
    <w:p w14:paraId="2C25FF60" w14:textId="77777777" w:rsidR="009D519D" w:rsidRDefault="00000000">
      <w:pPr>
        <w:pStyle w:val="ListBullet"/>
        <w:spacing w:after="40"/>
      </w:pPr>
      <w:r>
        <w:t>Important clarification: this lane does not mean Consentext has no control at all. If Consentext still sits in the middle, it can still enforce warnings, user approvals, routing rules, and logging before transmission. What weakens is the boundary after the payload has been sent.</w:t>
      </w:r>
    </w:p>
    <w:p w14:paraId="48C2CD22" w14:textId="77777777" w:rsidR="009D519D" w:rsidRDefault="00000000">
      <w:pPr>
        <w:pStyle w:val="ListBullet"/>
        <w:spacing w:after="40"/>
      </w:pPr>
      <w:r>
        <w:t>BYOK: if used at all, this is the most natural place for it.</w:t>
      </w:r>
    </w:p>
    <w:p w14:paraId="74446139" w14:textId="77777777" w:rsidR="009D519D" w:rsidRDefault="00000000">
      <w:pPr>
        <w:pStyle w:val="ListBullet"/>
        <w:spacing w:after="40"/>
      </w:pPr>
      <w:r>
        <w:t>Strategic value: this gives freedom to users who want broader AI access while keeping the gateway's policy layer in front of the interaction.</w:t>
      </w:r>
    </w:p>
    <w:p w14:paraId="7E52B9AB" w14:textId="77777777" w:rsidR="009D519D" w:rsidRDefault="00000000">
      <w:pPr>
        <w:spacing w:before="160" w:after="80"/>
      </w:pPr>
      <w:r>
        <w:rPr>
          <w:b/>
          <w:color w:val="143C5A"/>
          <w:sz w:val="32"/>
        </w:rPr>
        <w:t>5. Where BYOK fits</w:t>
      </w:r>
    </w:p>
    <w:p w14:paraId="46A9DFF7" w14:textId="77777777" w:rsidR="009D519D" w:rsidRDefault="00000000">
      <w:pPr>
        <w:spacing w:after="60"/>
      </w:pPr>
      <w:r>
        <w:rPr>
          <w:color w:val="222222"/>
        </w:rPr>
        <w:t>BYOK should be treated as a connection or billing method, not as a lane and not as the center of the strategy.</w:t>
      </w:r>
    </w:p>
    <w:p w14:paraId="7E01D088" w14:textId="77777777" w:rsidR="009D519D" w:rsidRDefault="00000000">
      <w:pPr>
        <w:pStyle w:val="ListBullet"/>
        <w:spacing w:after="40"/>
      </w:pPr>
      <w:r>
        <w:t>BYOK does not belong in the Deterministic lane.</w:t>
      </w:r>
    </w:p>
    <w:p w14:paraId="26A9EE63" w14:textId="77777777" w:rsidR="009D519D" w:rsidRDefault="00000000">
      <w:pPr>
        <w:pStyle w:val="ListBullet"/>
        <w:spacing w:after="40"/>
      </w:pPr>
      <w:r>
        <w:t>BYOK does not belong in the Private lane.</w:t>
      </w:r>
    </w:p>
    <w:p w14:paraId="602B24E7" w14:textId="77777777" w:rsidR="009D519D" w:rsidRDefault="00000000">
      <w:pPr>
        <w:pStyle w:val="ListBullet"/>
        <w:spacing w:after="40"/>
      </w:pPr>
      <w:r>
        <w:t>BYOK can fit in Private+ when Consentext remains in the middle and only the approved reduced payload is sent externally.</w:t>
      </w:r>
    </w:p>
    <w:p w14:paraId="7233A30F" w14:textId="77777777" w:rsidR="009D519D" w:rsidRDefault="00000000">
      <w:pPr>
        <w:pStyle w:val="ListBullet"/>
        <w:spacing w:after="40"/>
      </w:pPr>
      <w:r>
        <w:t>BYOK fits most naturally in Max Intelligence, again only if Consentext remains in the middle.</w:t>
      </w:r>
    </w:p>
    <w:p w14:paraId="42035AEE" w14:textId="77777777" w:rsidR="009D519D" w:rsidRDefault="00000000">
      <w:pPr>
        <w:pStyle w:val="ListBullet"/>
        <w:spacing w:after="40"/>
      </w:pPr>
      <w:r>
        <w:t>BYOK should not be confused with direct outside AI UI handoff. Those are not the same thing.</w:t>
      </w:r>
    </w:p>
    <w:p w14:paraId="15C42645" w14:textId="77777777" w:rsidR="009D519D" w:rsidRDefault="00000000">
      <w:pPr>
        <w:pStyle w:val="ListBullet"/>
        <w:spacing w:after="40"/>
      </w:pPr>
      <w:r>
        <w:t>Practical note: current provider rules generally point toward backend-mediated API use rather than client-side key exposure, and current billing models generally separate consumer chat subscriptions from API usage. Those rule sets should be verified again at implementation time.</w:t>
      </w:r>
    </w:p>
    <w:p w14:paraId="20FCD553" w14:textId="77777777" w:rsidR="009D519D" w:rsidRDefault="00000000">
      <w:pPr>
        <w:spacing w:before="160" w:after="80"/>
      </w:pPr>
      <w:r>
        <w:rPr>
          <w:b/>
          <w:color w:val="143C5A"/>
          <w:sz w:val="32"/>
        </w:rPr>
        <w:t>6. Shared controls across every lane</w:t>
      </w:r>
    </w:p>
    <w:p w14:paraId="1E9083BB" w14:textId="77777777" w:rsidR="009D519D" w:rsidRDefault="00000000">
      <w:pPr>
        <w:spacing w:after="60"/>
      </w:pPr>
      <w:r>
        <w:rPr>
          <w:color w:val="222222"/>
        </w:rPr>
        <w:t>The gateway only works if certain controls exist regardless of which lane a user chooses.</w:t>
      </w:r>
    </w:p>
    <w:p w14:paraId="291A67B7" w14:textId="77777777" w:rsidR="009D519D" w:rsidRDefault="00000000">
      <w:pPr>
        <w:pStyle w:val="ListBullet"/>
        <w:spacing w:after="40"/>
      </w:pPr>
      <w:r>
        <w:t>Purpose and permission checks before record access.</w:t>
      </w:r>
    </w:p>
    <w:p w14:paraId="75099598" w14:textId="77777777" w:rsidR="009D519D" w:rsidRDefault="00000000">
      <w:pPr>
        <w:pStyle w:val="ListBullet"/>
        <w:spacing w:after="40"/>
      </w:pPr>
      <w:r>
        <w:t>Data-protection layer before any external transmission.</w:t>
      </w:r>
    </w:p>
    <w:p w14:paraId="0BBCD851" w14:textId="77777777" w:rsidR="009D519D" w:rsidRDefault="00000000">
      <w:pPr>
        <w:pStyle w:val="ListBullet"/>
        <w:spacing w:after="40"/>
      </w:pPr>
      <w:r>
        <w:t>Minimum-necessary logic for any share bundle or outbound payload.</w:t>
      </w:r>
    </w:p>
    <w:p w14:paraId="66C344B6" w14:textId="77777777" w:rsidR="009D519D" w:rsidRDefault="00000000">
      <w:pPr>
        <w:pStyle w:val="ListBullet"/>
        <w:spacing w:after="40"/>
      </w:pPr>
      <w:r>
        <w:t>User approval for outbound sharing and for agent actions that have external effect.</w:t>
      </w:r>
    </w:p>
    <w:p w14:paraId="6C2FD72D" w14:textId="77777777" w:rsidR="009D519D" w:rsidRDefault="00000000">
      <w:pPr>
        <w:pStyle w:val="ListBullet"/>
        <w:spacing w:after="40"/>
      </w:pPr>
      <w:r>
        <w:t>Audit receipts showing what happened, when it happened, and under which lane.</w:t>
      </w:r>
    </w:p>
    <w:p w14:paraId="025ECA1E" w14:textId="77777777" w:rsidR="009D519D" w:rsidRDefault="00000000">
      <w:pPr>
        <w:pStyle w:val="ListBullet"/>
        <w:spacing w:after="40"/>
      </w:pPr>
      <w:r>
        <w:t>Clear labels in the product so users understand whether they are in a deterministic, protected, hybrid, or broad external mode.</w:t>
      </w:r>
    </w:p>
    <w:p w14:paraId="097CA29D" w14:textId="77777777" w:rsidR="009D519D" w:rsidRDefault="00000000">
      <w:pPr>
        <w:pStyle w:val="ListBullet"/>
        <w:spacing w:after="40"/>
      </w:pPr>
      <w:r>
        <w:t>A rule that deterministic facts remain the anchor for factual outputs, with AI used for explanation, language, organization, and workflow where appropriate.</w:t>
      </w:r>
    </w:p>
    <w:p w14:paraId="0D771FFB" w14:textId="77777777" w:rsidR="009D519D" w:rsidRDefault="00000000">
      <w:pPr>
        <w:spacing w:before="160" w:after="80"/>
      </w:pPr>
      <w:r>
        <w:rPr>
          <w:b/>
          <w:color w:val="143C5A"/>
          <w:sz w:val="32"/>
        </w:rPr>
        <w:t>7. Strategic interpretation for Consentext</w:t>
      </w:r>
    </w:p>
    <w:p w14:paraId="2E129A78" w14:textId="77777777" w:rsidR="009D519D" w:rsidRDefault="00000000">
      <w:pPr>
        <w:spacing w:after="80"/>
      </w:pPr>
      <w:r>
        <w:rPr>
          <w:color w:val="222222"/>
        </w:rPr>
        <w:t>The strongest reading of this framework is not that Consentext must pick one universal option. The stronger reading is that Consentext should become a trust-based AI system with multiple lanes.</w:t>
      </w:r>
      <w:r>
        <w:br/>
      </w:r>
      <w:r>
        <w:br/>
      </w:r>
      <w:r>
        <w:rPr>
          <w:color w:val="222222"/>
        </w:rPr>
        <w:t>That matches the founder vision reflected in the working discussions: users who are comfortable with AI should have access to broader modes, users who are cautious should have a protected and selective path, and users who want the strongest possible safeguards should have a lane that keeps sensitive record work under Consentext control.</w:t>
      </w:r>
    </w:p>
    <w:p w14:paraId="1ABCC453" w14:textId="77777777" w:rsidR="009D519D" w:rsidRDefault="00000000">
      <w:pPr>
        <w:pStyle w:val="ListBullet"/>
        <w:spacing w:after="40"/>
      </w:pPr>
      <w:r>
        <w:t>Deterministic lane anchors trust.</w:t>
      </w:r>
    </w:p>
    <w:p w14:paraId="56C4745D" w14:textId="77777777" w:rsidR="009D519D" w:rsidRDefault="00000000">
      <w:pPr>
        <w:pStyle w:val="ListBullet"/>
        <w:spacing w:after="40"/>
      </w:pPr>
      <w:r>
        <w:t>Private lane is where the health-data moat can mature.</w:t>
      </w:r>
    </w:p>
    <w:p w14:paraId="49B0EB90" w14:textId="77777777" w:rsidR="009D519D" w:rsidRDefault="00000000">
      <w:pPr>
        <w:pStyle w:val="ListBullet"/>
        <w:spacing w:after="40"/>
      </w:pPr>
      <w:r>
        <w:t>Private+ is the practical bridge lane.</w:t>
      </w:r>
    </w:p>
    <w:p w14:paraId="2349D851" w14:textId="77777777" w:rsidR="009D519D" w:rsidRDefault="00000000">
      <w:pPr>
        <w:pStyle w:val="ListBullet"/>
        <w:spacing w:after="40"/>
      </w:pPr>
      <w:r>
        <w:t>Max Intelligence preserves consumer choice without pretending that every interaction is equally protected.</w:t>
      </w:r>
    </w:p>
    <w:tbl>
      <w:tblPr>
        <w:tblW w:w="0" w:type="auto"/>
        <w:jc w:val="center"/>
        <w:tblBorders>
          <w:top w:val="single" w:sz="8" w:space="0" w:color="C4D5E3"/>
          <w:left w:val="single" w:sz="8" w:space="0" w:color="C4D5E3"/>
          <w:bottom w:val="single" w:sz="8" w:space="0" w:color="C4D5E3"/>
          <w:right w:val="single" w:sz="8" w:space="0" w:color="C4D5E3"/>
          <w:insideH w:val="single" w:sz="8" w:space="0" w:color="C4D5E3"/>
          <w:insideV w:val="single" w:sz="8" w:space="0" w:color="C4D5E3"/>
        </w:tblBorders>
        <w:tblLook w:val="04A0" w:firstRow="1" w:lastRow="0" w:firstColumn="1" w:lastColumn="0" w:noHBand="0" w:noVBand="1"/>
      </w:tblPr>
      <w:tblGrid>
        <w:gridCol w:w="9772"/>
      </w:tblGrid>
      <w:tr w:rsidR="009D519D" w14:paraId="05746394" w14:textId="77777777">
        <w:trPr>
          <w:jc w:val="center"/>
        </w:trPr>
        <w:tc>
          <w:tcPr>
            <w:tcW w:w="9792" w:type="dxa"/>
            <w:shd w:val="clear" w:color="auto" w:fill="F6FAFD"/>
            <w:tcMar>
              <w:top w:w="120" w:type="dxa"/>
              <w:left w:w="140" w:type="dxa"/>
              <w:bottom w:w="120" w:type="dxa"/>
              <w:right w:w="140" w:type="dxa"/>
            </w:tcMar>
          </w:tcPr>
          <w:p w14:paraId="62FC6F92" w14:textId="77777777" w:rsidR="009D519D" w:rsidRDefault="00000000">
            <w:pPr>
              <w:spacing w:after="60"/>
            </w:pPr>
            <w:r>
              <w:rPr>
                <w:b/>
                <w:color w:val="143C5A"/>
                <w:sz w:val="22"/>
              </w:rPr>
              <w:t>Bottom line</w:t>
            </w:r>
          </w:p>
          <w:p w14:paraId="09510D35" w14:textId="77777777" w:rsidR="009D519D" w:rsidRDefault="00000000">
            <w:pPr>
              <w:spacing w:after="80" w:line="264" w:lineRule="auto"/>
            </w:pPr>
            <w:r>
              <w:rPr>
                <w:color w:val="222222"/>
                <w:sz w:val="20"/>
              </w:rPr>
              <w:t>Consentext AI Gateway should be understood as a user-choice trust framework built around four lanes: Deterministic, Private, Private+, and Max Intelligence. Direct outside AI UI handoff stays off the board for now. BYOK remains secondary and should only appear in lanes that intentionally use outside models while Consentext stays in the middle.</w:t>
            </w:r>
          </w:p>
        </w:tc>
      </w:tr>
    </w:tbl>
    <w:p w14:paraId="5D1CD684" w14:textId="77777777" w:rsidR="009D519D" w:rsidRDefault="009D519D"/>
    <w:p w14:paraId="365E772C" w14:textId="77777777" w:rsidR="009D519D" w:rsidRDefault="00000000">
      <w:pPr>
        <w:spacing w:before="160" w:after="80"/>
      </w:pPr>
      <w:r>
        <w:rPr>
          <w:b/>
          <w:color w:val="143C5A"/>
          <w:sz w:val="32"/>
        </w:rPr>
        <w:t>Appendix A. Internal source base used for this framing</w:t>
      </w:r>
    </w:p>
    <w:p w14:paraId="610E9811" w14:textId="77777777" w:rsidR="009D519D" w:rsidRDefault="00000000">
      <w:pPr>
        <w:pStyle w:val="ListBullet"/>
        <w:spacing w:after="40"/>
      </w:pPr>
      <w:r>
        <w:t>Consentext AI + Agents Integration Playbook (full text).</w:t>
      </w:r>
    </w:p>
    <w:p w14:paraId="07ECB027" w14:textId="77777777" w:rsidR="009D519D" w:rsidRDefault="00000000">
      <w:pPr>
        <w:pStyle w:val="ListBullet"/>
        <w:spacing w:after="40"/>
      </w:pPr>
      <w:r>
        <w:t>Consentext AI Gateway by Nam.</w:t>
      </w:r>
    </w:p>
    <w:p w14:paraId="1E2E71D5" w14:textId="77777777" w:rsidR="009D519D" w:rsidRDefault="00000000">
      <w:pPr>
        <w:pStyle w:val="ListBullet"/>
        <w:spacing w:after="40"/>
      </w:pPr>
      <w:r>
        <w:t>Mode 1 - Private; Mode 2 - Private &amp; Default Mode; Mode 3 - Max Intelligence.</w:t>
      </w:r>
    </w:p>
    <w:p w14:paraId="76D1AB8D" w14:textId="77777777" w:rsidR="009D519D" w:rsidRDefault="00000000">
      <w:pPr>
        <w:pStyle w:val="ListBullet"/>
        <w:spacing w:after="40"/>
      </w:pPr>
      <w:r>
        <w:t>Security Checklist; BYOK note; Default billing note.</w:t>
      </w:r>
    </w:p>
    <w:p w14:paraId="64AF42BF" w14:textId="77777777" w:rsidR="009D519D" w:rsidRDefault="00000000">
      <w:pPr>
        <w:pStyle w:val="ListBullet"/>
        <w:spacing w:after="40"/>
      </w:pPr>
      <w:r>
        <w:t>MVP Vision Prototype for AI Gateway and related prototype materials.</w:t>
      </w:r>
    </w:p>
    <w:p w14:paraId="32A08369" w14:textId="77777777" w:rsidR="009D519D" w:rsidRDefault="00000000">
      <w:pPr>
        <w:pStyle w:val="ListBullet"/>
        <w:spacing w:after="40"/>
      </w:pPr>
      <w:r>
        <w:t>Founder revisions and discussion points incorporated during this collaboration.</w:t>
      </w:r>
    </w:p>
    <w:sectPr w:rsidR="009D519D" w:rsidSect="00034616">
      <w:headerReference w:type="default" r:id="rId8"/>
      <w:footerReference w:type="default" r:id="rId9"/>
      <w:pgSz w:w="12240" w:h="15840"/>
      <w:pgMar w:top="936" w:right="1224" w:bottom="936"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7F0C1" w14:textId="77777777" w:rsidR="00B24957" w:rsidRDefault="00B24957">
      <w:pPr>
        <w:spacing w:after="0" w:line="240" w:lineRule="auto"/>
      </w:pPr>
      <w:r>
        <w:separator/>
      </w:r>
    </w:p>
  </w:endnote>
  <w:endnote w:type="continuationSeparator" w:id="0">
    <w:p w14:paraId="5DB8C7E5" w14:textId="77777777" w:rsidR="00B24957" w:rsidRDefault="00B24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B8643" w14:textId="77777777" w:rsidR="009D519D" w:rsidRDefault="00000000">
    <w:pPr>
      <w:pStyle w:val="Footer"/>
      <w:jc w:val="center"/>
    </w:pPr>
    <w:r>
      <w:rPr>
        <w:color w:val="6A7785"/>
        <w:sz w:val="17"/>
      </w:rPr>
      <w:t>AI Gateway meaning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B8522" w14:textId="77777777" w:rsidR="00B24957" w:rsidRDefault="00B24957">
      <w:pPr>
        <w:spacing w:after="0" w:line="240" w:lineRule="auto"/>
      </w:pPr>
      <w:r>
        <w:separator/>
      </w:r>
    </w:p>
  </w:footnote>
  <w:footnote w:type="continuationSeparator" w:id="0">
    <w:p w14:paraId="303F6DDA" w14:textId="77777777" w:rsidR="00B24957" w:rsidRDefault="00B249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B4F3" w14:textId="77777777" w:rsidR="009D519D" w:rsidRDefault="00000000">
    <w:pPr>
      <w:pStyle w:val="Header"/>
      <w:jc w:val="right"/>
    </w:pPr>
    <w:r>
      <w:rPr>
        <w:color w:val="6A7785"/>
        <w:sz w:val="17"/>
      </w:rPr>
      <w:t>Consentext - Internal working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3155590">
    <w:abstractNumId w:val="8"/>
  </w:num>
  <w:num w:numId="2" w16cid:durableId="1048531910">
    <w:abstractNumId w:val="6"/>
  </w:num>
  <w:num w:numId="3" w16cid:durableId="324239107">
    <w:abstractNumId w:val="5"/>
  </w:num>
  <w:num w:numId="4" w16cid:durableId="298537033">
    <w:abstractNumId w:val="4"/>
  </w:num>
  <w:num w:numId="5" w16cid:durableId="598829476">
    <w:abstractNumId w:val="7"/>
  </w:num>
  <w:num w:numId="6" w16cid:durableId="1520851965">
    <w:abstractNumId w:val="3"/>
  </w:num>
  <w:num w:numId="7" w16cid:durableId="1947424080">
    <w:abstractNumId w:val="2"/>
  </w:num>
  <w:num w:numId="8" w16cid:durableId="1375078396">
    <w:abstractNumId w:val="1"/>
  </w:num>
  <w:num w:numId="9" w16cid:durableId="2101753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D519D"/>
    <w:rsid w:val="00AA1D8D"/>
    <w:rsid w:val="00B24957"/>
    <w:rsid w:val="00B47730"/>
    <w:rsid w:val="00C8623F"/>
    <w:rsid w:val="00CB0664"/>
    <w:rsid w:val="00F217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A44B62"/>
  <w14:defaultImageDpi w14:val="300"/>
  <w15:docId w15:val="{7A22AAF6-3091-442E-9E2C-C4BA45311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1500</Words>
  <Characters>8553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Gary Kowalski</cp:lastModifiedBy>
  <cp:revision>2</cp:revision>
  <dcterms:created xsi:type="dcterms:W3CDTF">2026-03-09T21:28:00Z</dcterms:created>
  <dcterms:modified xsi:type="dcterms:W3CDTF">2026-03-09T21:28:00Z</dcterms:modified>
  <cp:category/>
</cp:coreProperties>
</file>