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A348" w14:textId="77777777" w:rsidR="00B954AE" w:rsidRDefault="00000000">
      <w:pPr>
        <w:pStyle w:val="Title"/>
      </w:pPr>
      <w:r>
        <w:t>Consentext Phase 3.75 – Architecture Review Summary</w:t>
      </w:r>
    </w:p>
    <w:p w14:paraId="6DE9B5D4" w14:textId="77777777" w:rsidR="00B954AE" w:rsidRDefault="00000000">
      <w:pPr>
        <w:pStyle w:val="Heading1"/>
      </w:pPr>
      <w:r>
        <w:t>1. System Boundary</w:t>
      </w:r>
    </w:p>
    <w:p w14:paraId="39F17A74" w14:textId="77777777" w:rsidR="00B954AE" w:rsidRDefault="00000000">
      <w:r>
        <w:rPr>
          <w:rFonts w:ascii="Courier New" w:eastAsia="Courier New" w:hAnsi="Courier New"/>
          <w:sz w:val="20"/>
        </w:rPr>
        <w:br/>
        <w:t xml:space="preserve">                ┌──────────────────────────────────────────┐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             │            USER / ACTORS                  │</w:t>
      </w:r>
      <w:r>
        <w:rPr>
          <w:rFonts w:ascii="Courier New" w:eastAsia="Courier New" w:hAnsi="Courier New"/>
          <w:sz w:val="20"/>
        </w:rPr>
        <w:br/>
        <w:t xml:space="preserve">                │ (User, Provider, Researcher, Agent/API)  │</w:t>
      </w:r>
      <w:r>
        <w:rPr>
          <w:rFonts w:ascii="Courier New" w:eastAsia="Courier New" w:hAnsi="Courier New"/>
          <w:sz w:val="20"/>
        </w:rPr>
        <w:br/>
        <w:t xml:space="preserve">                └─────────────────────────┬────────────────┘</w:t>
      </w:r>
      <w:r>
        <w:rPr>
          <w:rFonts w:ascii="Courier New" w:eastAsia="Courier New" w:hAnsi="Courier New"/>
          <w:sz w:val="20"/>
        </w:rPr>
        <w:br/>
        <w:t xml:space="preserve">                                          │</w:t>
      </w:r>
      <w:r>
        <w:rPr>
          <w:rFonts w:ascii="Courier New" w:eastAsia="Courier New" w:hAnsi="Courier New"/>
          <w:sz w:val="20"/>
        </w:rPr>
        <w:br/>
        <w:t xml:space="preserve">                                          ▼</w:t>
      </w:r>
      <w:r>
        <w:rPr>
          <w:rFonts w:ascii="Courier New" w:eastAsia="Courier New" w:hAnsi="Courier New"/>
          <w:sz w:val="20"/>
        </w:rPr>
        <w:br/>
        <w:t xml:space="preserve">            ┌────────────────────────────────────────────────┐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         │             CONSENTEXT TRUST KERNEL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 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Identity/Auth → Access Enforcement → Consent   │</w:t>
      </w:r>
      <w:r>
        <w:rPr>
          <w:rFonts w:ascii="Courier New" w:eastAsia="Courier New" w:hAnsi="Courier New"/>
          <w:sz w:val="20"/>
        </w:rPr>
        <w:br/>
        <w:t xml:space="preserve">            │        │                 │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▼                 ▼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Vault Storage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│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▼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Context Preparation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│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▼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AI Gateway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                                       │</w:t>
      </w:r>
      <w:r>
        <w:rPr>
          <w:rFonts w:ascii="Courier New" w:eastAsia="Courier New" w:hAnsi="Courier New"/>
          <w:sz w:val="20"/>
        </w:rPr>
        <w:br/>
        <w:t xml:space="preserve">            │          Append‑Only Audit Ledger               │</w:t>
      </w:r>
      <w:r>
        <w:rPr>
          <w:rFonts w:ascii="Courier New" w:eastAsia="Courier New" w:hAnsi="Courier New"/>
          <w:sz w:val="20"/>
        </w:rPr>
        <w:br/>
        <w:t xml:space="preserve">            └─────────────────────────┬───────────────────────┘</w:t>
      </w:r>
      <w:r>
        <w:rPr>
          <w:rFonts w:ascii="Courier New" w:eastAsia="Courier New" w:hAnsi="Courier New"/>
          <w:sz w:val="20"/>
        </w:rPr>
        <w:br/>
        <w:t xml:space="preserve">                                      │</w:t>
      </w:r>
      <w:r>
        <w:rPr>
          <w:rFonts w:ascii="Courier New" w:eastAsia="Courier New" w:hAnsi="Courier New"/>
          <w:sz w:val="20"/>
        </w:rPr>
        <w:br/>
        <w:t xml:space="preserve">                                      ▼</w:t>
      </w:r>
      <w:r>
        <w:rPr>
          <w:rFonts w:ascii="Courier New" w:eastAsia="Courier New" w:hAnsi="Courier New"/>
          <w:sz w:val="20"/>
        </w:rPr>
        <w:br/>
        <w:t xml:space="preserve">                        External Systems (AI / Providers)</w:t>
      </w:r>
      <w:r>
        <w:rPr>
          <w:rFonts w:ascii="Courier New" w:eastAsia="Courier New" w:hAnsi="Courier New"/>
          <w:sz w:val="20"/>
        </w:rPr>
        <w:br/>
      </w:r>
    </w:p>
    <w:p w14:paraId="7FF39877" w14:textId="77777777" w:rsidR="00B954AE" w:rsidRDefault="00000000">
      <w:pPr>
        <w:pStyle w:val="Heading1"/>
      </w:pPr>
      <w:r>
        <w:t>2. Module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54AE" w14:paraId="55ADD10E" w14:textId="77777777">
        <w:tc>
          <w:tcPr>
            <w:tcW w:w="2880" w:type="dxa"/>
          </w:tcPr>
          <w:p w14:paraId="3F2D15C0" w14:textId="77777777" w:rsidR="00B954AE" w:rsidRDefault="00000000">
            <w:r>
              <w:t>Module</w:t>
            </w:r>
          </w:p>
        </w:tc>
        <w:tc>
          <w:tcPr>
            <w:tcW w:w="2880" w:type="dxa"/>
          </w:tcPr>
          <w:p w14:paraId="3FA83ECB" w14:textId="77777777" w:rsidR="00B954AE" w:rsidRDefault="00000000">
            <w:r>
              <w:t>Primary Responsibility</w:t>
            </w:r>
          </w:p>
        </w:tc>
        <w:tc>
          <w:tcPr>
            <w:tcW w:w="2880" w:type="dxa"/>
          </w:tcPr>
          <w:p w14:paraId="347DB5A2" w14:textId="77777777" w:rsidR="00B954AE" w:rsidRDefault="00000000">
            <w:r>
              <w:t>Notes</w:t>
            </w:r>
          </w:p>
        </w:tc>
      </w:tr>
      <w:tr w:rsidR="00B954AE" w14:paraId="703D0348" w14:textId="77777777">
        <w:tc>
          <w:tcPr>
            <w:tcW w:w="2880" w:type="dxa"/>
          </w:tcPr>
          <w:p w14:paraId="0839F1B0" w14:textId="77777777" w:rsidR="00B954AE" w:rsidRDefault="00000000">
            <w:r>
              <w:t>Identity &amp; Authentication</w:t>
            </w:r>
          </w:p>
        </w:tc>
        <w:tc>
          <w:tcPr>
            <w:tcW w:w="2880" w:type="dxa"/>
          </w:tcPr>
          <w:p w14:paraId="31F99A1F" w14:textId="77777777" w:rsidR="00B954AE" w:rsidRDefault="00000000">
            <w:r>
              <w:t>Establish user/session identity and role context</w:t>
            </w:r>
          </w:p>
        </w:tc>
        <w:tc>
          <w:tcPr>
            <w:tcW w:w="2880" w:type="dxa"/>
          </w:tcPr>
          <w:p w14:paraId="4F9A5F0B" w14:textId="77777777" w:rsidR="00B954AE" w:rsidRDefault="00000000">
            <w:r>
              <w:t>Supports step‑up auth for sensitive actions</w:t>
            </w:r>
          </w:p>
        </w:tc>
      </w:tr>
      <w:tr w:rsidR="00B954AE" w14:paraId="4BCFA57E" w14:textId="77777777">
        <w:tc>
          <w:tcPr>
            <w:tcW w:w="2880" w:type="dxa"/>
          </w:tcPr>
          <w:p w14:paraId="6FB3DCA3" w14:textId="77777777" w:rsidR="00B954AE" w:rsidRDefault="00000000">
            <w:r>
              <w:t>Access Enforcement</w:t>
            </w:r>
          </w:p>
        </w:tc>
        <w:tc>
          <w:tcPr>
            <w:tcW w:w="2880" w:type="dxa"/>
          </w:tcPr>
          <w:p w14:paraId="6224403D" w14:textId="77777777" w:rsidR="00B954AE" w:rsidRDefault="00000000">
            <w:r>
              <w:t>Evaluate every request against policy and consent</w:t>
            </w:r>
          </w:p>
        </w:tc>
        <w:tc>
          <w:tcPr>
            <w:tcW w:w="2880" w:type="dxa"/>
          </w:tcPr>
          <w:p w14:paraId="23C15B13" w14:textId="77777777" w:rsidR="00B954AE" w:rsidRDefault="00000000">
            <w:r>
              <w:t>Fail‑closed security model</w:t>
            </w:r>
          </w:p>
        </w:tc>
      </w:tr>
      <w:tr w:rsidR="00B954AE" w14:paraId="3FC7C2B4" w14:textId="77777777">
        <w:tc>
          <w:tcPr>
            <w:tcW w:w="2880" w:type="dxa"/>
          </w:tcPr>
          <w:p w14:paraId="780CB873" w14:textId="77777777" w:rsidR="00B954AE" w:rsidRDefault="00000000">
            <w:r>
              <w:t>Consent / Sharing Engine</w:t>
            </w:r>
          </w:p>
        </w:tc>
        <w:tc>
          <w:tcPr>
            <w:tcW w:w="2880" w:type="dxa"/>
          </w:tcPr>
          <w:p w14:paraId="1B0D0047" w14:textId="77777777" w:rsidR="00B954AE" w:rsidRDefault="00000000">
            <w:r>
              <w:t>Manage consent policies and share grants</w:t>
            </w:r>
          </w:p>
        </w:tc>
        <w:tc>
          <w:tcPr>
            <w:tcW w:w="2880" w:type="dxa"/>
          </w:tcPr>
          <w:p w14:paraId="5CD057DE" w14:textId="77777777" w:rsidR="00B954AE" w:rsidRDefault="00000000">
            <w:r>
              <w:t>Supports revocation and expiration</w:t>
            </w:r>
          </w:p>
        </w:tc>
      </w:tr>
      <w:tr w:rsidR="00B954AE" w14:paraId="636B8322" w14:textId="77777777">
        <w:tc>
          <w:tcPr>
            <w:tcW w:w="2880" w:type="dxa"/>
          </w:tcPr>
          <w:p w14:paraId="6D85522C" w14:textId="77777777" w:rsidR="00B954AE" w:rsidRDefault="00000000">
            <w:r>
              <w:t>Vault Storage</w:t>
            </w:r>
          </w:p>
        </w:tc>
        <w:tc>
          <w:tcPr>
            <w:tcW w:w="2880" w:type="dxa"/>
          </w:tcPr>
          <w:p w14:paraId="2EAE5992" w14:textId="77777777" w:rsidR="00B954AE" w:rsidRDefault="00000000">
            <w:r>
              <w:t>Custody of protected health context</w:t>
            </w:r>
          </w:p>
        </w:tc>
        <w:tc>
          <w:tcPr>
            <w:tcW w:w="2880" w:type="dxa"/>
          </w:tcPr>
          <w:p w14:paraId="71AF0BFB" w14:textId="77777777" w:rsidR="00B954AE" w:rsidRDefault="00000000">
            <w:r>
              <w:t>Structured pods and category storage</w:t>
            </w:r>
          </w:p>
        </w:tc>
      </w:tr>
      <w:tr w:rsidR="00B954AE" w14:paraId="69D7ED93" w14:textId="77777777">
        <w:tc>
          <w:tcPr>
            <w:tcW w:w="2880" w:type="dxa"/>
          </w:tcPr>
          <w:p w14:paraId="2E929F5F" w14:textId="77777777" w:rsidR="00B954AE" w:rsidRDefault="00000000">
            <w:r>
              <w:t>Context Preparation</w:t>
            </w:r>
          </w:p>
        </w:tc>
        <w:tc>
          <w:tcPr>
            <w:tcW w:w="2880" w:type="dxa"/>
          </w:tcPr>
          <w:p w14:paraId="49F8C831" w14:textId="77777777" w:rsidR="00B954AE" w:rsidRDefault="00000000">
            <w:r>
              <w:t>Derived‑first transformation and minimal export bundle</w:t>
            </w:r>
          </w:p>
        </w:tc>
        <w:tc>
          <w:tcPr>
            <w:tcW w:w="2880" w:type="dxa"/>
          </w:tcPr>
          <w:p w14:paraId="6824E0FB" w14:textId="77777777" w:rsidR="00B954AE" w:rsidRDefault="00000000">
            <w:r>
              <w:t>Prepares AI‑safe context packets</w:t>
            </w:r>
          </w:p>
        </w:tc>
      </w:tr>
      <w:tr w:rsidR="00B954AE" w14:paraId="1FEB7EBE" w14:textId="77777777">
        <w:tc>
          <w:tcPr>
            <w:tcW w:w="2880" w:type="dxa"/>
          </w:tcPr>
          <w:p w14:paraId="1BC20BED" w14:textId="77777777" w:rsidR="00B954AE" w:rsidRDefault="00000000">
            <w:r>
              <w:t>AI Gateway</w:t>
            </w:r>
          </w:p>
        </w:tc>
        <w:tc>
          <w:tcPr>
            <w:tcW w:w="2880" w:type="dxa"/>
          </w:tcPr>
          <w:p w14:paraId="7E504FAC" w14:textId="77777777" w:rsidR="00B954AE" w:rsidRDefault="00000000">
            <w:r>
              <w:t>Govern outbound AI interaction and bundle preview</w:t>
            </w:r>
          </w:p>
        </w:tc>
        <w:tc>
          <w:tcPr>
            <w:tcW w:w="2880" w:type="dxa"/>
          </w:tcPr>
          <w:p w14:paraId="6A0D6BBF" w14:textId="77777777" w:rsidR="00B954AE" w:rsidRDefault="00000000">
            <w:r>
              <w:t>No direct bypass of policies</w:t>
            </w:r>
          </w:p>
        </w:tc>
      </w:tr>
      <w:tr w:rsidR="00B954AE" w14:paraId="432717B7" w14:textId="77777777">
        <w:tc>
          <w:tcPr>
            <w:tcW w:w="2880" w:type="dxa"/>
          </w:tcPr>
          <w:p w14:paraId="2869F845" w14:textId="77777777" w:rsidR="00B954AE" w:rsidRDefault="00000000">
            <w:r>
              <w:t>Audit Ledger</w:t>
            </w:r>
          </w:p>
        </w:tc>
        <w:tc>
          <w:tcPr>
            <w:tcW w:w="2880" w:type="dxa"/>
          </w:tcPr>
          <w:p w14:paraId="04664038" w14:textId="77777777" w:rsidR="00B954AE" w:rsidRDefault="00000000">
            <w:r>
              <w:t>Append‑only system event log</w:t>
            </w:r>
          </w:p>
        </w:tc>
        <w:tc>
          <w:tcPr>
            <w:tcW w:w="2880" w:type="dxa"/>
          </w:tcPr>
          <w:p w14:paraId="61BA4CF4" w14:textId="77777777" w:rsidR="00B954AE" w:rsidRDefault="00000000">
            <w:r>
              <w:t>Traceability across entire system</w:t>
            </w:r>
          </w:p>
        </w:tc>
      </w:tr>
    </w:tbl>
    <w:p w14:paraId="4DC5909C" w14:textId="77777777" w:rsidR="00B954AE" w:rsidRDefault="00000000">
      <w:pPr>
        <w:pStyle w:val="Heading1"/>
      </w:pPr>
      <w:r>
        <w:t>3. High‑Level Data Flow</w:t>
      </w:r>
    </w:p>
    <w:p w14:paraId="2F49954D" w14:textId="77777777" w:rsidR="00B954AE" w:rsidRDefault="00000000">
      <w:r>
        <w:t>1. User or system actor submits request.</w:t>
      </w:r>
      <w:r>
        <w:br/>
        <w:t>2. Identity layer establishes principal context.</w:t>
      </w:r>
      <w:r>
        <w:br/>
        <w:t>3. Access Enforcement evaluates permissions.</w:t>
      </w:r>
      <w:r>
        <w:br/>
        <w:t>4. Consent/Sharing engine verifies grants and policy scope.</w:t>
      </w:r>
      <w:r>
        <w:br/>
        <w:t>5. Vault provides relevant stored context.</w:t>
      </w:r>
      <w:r>
        <w:br/>
        <w:t>6. Context Preparation computes derived summaries and minimum‑necessary fields.</w:t>
      </w:r>
      <w:r>
        <w:br/>
        <w:t>7. AI Gateway generates outbound bundle preview.</w:t>
      </w:r>
      <w:r>
        <w:br/>
        <w:t>8. Audit Ledger records each step.</w:t>
      </w:r>
    </w:p>
    <w:p w14:paraId="34F182A4" w14:textId="77777777" w:rsidR="00B954AE" w:rsidRDefault="00000000">
      <w:pPr>
        <w:pStyle w:val="Heading1"/>
      </w:pPr>
      <w:r>
        <w:t>4. Trust Boundaries</w:t>
      </w:r>
    </w:p>
    <w:p w14:paraId="302D94FC" w14:textId="77777777" w:rsidR="00B954AE" w:rsidRDefault="00000000">
      <w:r>
        <w:t>Boundary 1 – External Actors → Consentext Kernel</w:t>
      </w:r>
      <w:r>
        <w:br/>
        <w:t>All requests must pass through Identity and Access Enforcement.</w:t>
      </w:r>
      <w:r>
        <w:br/>
      </w:r>
      <w:r>
        <w:br/>
        <w:t>Boundary 2 – Vault Data Custody</w:t>
      </w:r>
      <w:r>
        <w:br/>
        <w:t>Sensitive health context remains protected inside the Vault.</w:t>
      </w:r>
      <w:r>
        <w:br/>
      </w:r>
      <w:r>
        <w:br/>
        <w:t>Boundary 3 – AI Interaction</w:t>
      </w:r>
      <w:r>
        <w:br/>
        <w:t>Only derived or approved minimal bundles can exit the Gateway.</w:t>
      </w:r>
      <w:r>
        <w:br/>
      </w:r>
      <w:r>
        <w:br/>
        <w:t>Boundary 4 – Audit Integrity</w:t>
      </w:r>
      <w:r>
        <w:br/>
        <w:t>Every action is recorded in an append‑only ledger to preserve traceability.</w:t>
      </w:r>
    </w:p>
    <w:sectPr w:rsidR="00B95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274046">
    <w:abstractNumId w:val="8"/>
  </w:num>
  <w:num w:numId="2" w16cid:durableId="1799371230">
    <w:abstractNumId w:val="6"/>
  </w:num>
  <w:num w:numId="3" w16cid:durableId="1301115539">
    <w:abstractNumId w:val="5"/>
  </w:num>
  <w:num w:numId="4" w16cid:durableId="897477829">
    <w:abstractNumId w:val="4"/>
  </w:num>
  <w:num w:numId="5" w16cid:durableId="1657953871">
    <w:abstractNumId w:val="7"/>
  </w:num>
  <w:num w:numId="6" w16cid:durableId="704134985">
    <w:abstractNumId w:val="3"/>
  </w:num>
  <w:num w:numId="7" w16cid:durableId="447891635">
    <w:abstractNumId w:val="2"/>
  </w:num>
  <w:num w:numId="8" w16cid:durableId="619605967">
    <w:abstractNumId w:val="1"/>
  </w:num>
  <w:num w:numId="9" w16cid:durableId="115803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EDC"/>
    <w:rsid w:val="00AA1D8D"/>
    <w:rsid w:val="00B47730"/>
    <w:rsid w:val="00B954AE"/>
    <w:rsid w:val="00CB0664"/>
    <w:rsid w:val="00DC2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71548"/>
  <w14:defaultImageDpi w14:val="300"/>
  <w15:docId w15:val="{C4FD3673-89C4-4941-9C42-8FA2357F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Kowalski</cp:lastModifiedBy>
  <cp:revision>2</cp:revision>
  <dcterms:created xsi:type="dcterms:W3CDTF">2026-03-12T20:26:00Z</dcterms:created>
  <dcterms:modified xsi:type="dcterms:W3CDTF">2026-03-12T20:26:00Z</dcterms:modified>
  <cp:category/>
</cp:coreProperties>
</file>