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6653" w14:textId="77777777" w:rsidR="00372DE3" w:rsidRDefault="00000000">
      <w:pPr>
        <w:pStyle w:val="Title"/>
        <w:jc w:val="center"/>
      </w:pPr>
      <w:r>
        <w:rPr>
          <w:rFonts w:ascii="Calibri" w:hAnsi="Calibri"/>
          <w:b/>
          <w:sz w:val="56"/>
        </w:rPr>
        <w:t>Consentext</w:t>
      </w:r>
    </w:p>
    <w:p w14:paraId="6AEE542B" w14:textId="77777777" w:rsidR="00372DE3" w:rsidRDefault="00000000">
      <w:pPr>
        <w:jc w:val="center"/>
      </w:pPr>
      <w:r>
        <w:rPr>
          <w:b/>
          <w:sz w:val="32"/>
        </w:rPr>
        <w:t>Unified Strategic Brief (Internal — Candid)</w:t>
      </w:r>
    </w:p>
    <w:p w14:paraId="541FE38A" w14:textId="77777777" w:rsidR="00372DE3" w:rsidRDefault="00000000">
      <w:pPr>
        <w:jc w:val="center"/>
      </w:pPr>
      <w:r>
        <w:t>As of February 19, 2026 • Version 0.9</w:t>
      </w:r>
    </w:p>
    <w:p w14:paraId="666910F4" w14:textId="77777777" w:rsidR="00372DE3" w:rsidRDefault="00372DE3"/>
    <w:p w14:paraId="67BC4917" w14:textId="77777777" w:rsidR="00372DE3" w:rsidRDefault="00000000">
      <w:pPr>
        <w:pStyle w:val="Heading1"/>
      </w:pPr>
      <w:r>
        <w:t>Purpose</w:t>
      </w:r>
    </w:p>
    <w:p w14:paraId="3D4CD923" w14:textId="77777777" w:rsidR="00372DE3" w:rsidRDefault="00000000">
      <w:r>
        <w:t>Create a single canonical reference that merges the Ledger thesis (Handoff 1), Governance spine (Handoff 2B), and the Ledger vs Governance distinctions / 2045 stress test (Handoff 3) into one aligned founder narrative and build posture.</w:t>
      </w:r>
    </w:p>
    <w:p w14:paraId="4832EF21" w14:textId="77777777" w:rsidR="00372DE3" w:rsidRDefault="00000000">
      <w:r>
        <w:t>This brief is designed to (1) prevent internal drift, (2) speed developer onboarding for Phase 3.75, and (3) establish the decision hierarchy for what we build next.</w:t>
      </w:r>
    </w:p>
    <w:p w14:paraId="650C8F8A" w14:textId="77777777" w:rsidR="00372DE3" w:rsidRDefault="00372DE3"/>
    <w:p w14:paraId="2DEB9712" w14:textId="77777777" w:rsidR="00372DE3" w:rsidRDefault="00000000">
      <w:pPr>
        <w:pStyle w:val="Heading1"/>
      </w:pPr>
      <w:r>
        <w:t>Executive Summary</w:t>
      </w:r>
    </w:p>
    <w:p w14:paraId="420F63A2" w14:textId="77777777" w:rsidR="00372DE3" w:rsidRDefault="00000000">
      <w:pPr>
        <w:pStyle w:val="ListBullet"/>
      </w:pPr>
      <w:r>
        <w:t>Consentext is a consumer-first personal health context layer.</w:t>
      </w:r>
    </w:p>
    <w:p w14:paraId="636E0C60" w14:textId="77777777" w:rsidR="00372DE3" w:rsidRDefault="00000000">
      <w:pPr>
        <w:pStyle w:val="ListBullet"/>
      </w:pPr>
      <w:r>
        <w:t>Health is the first domain we govern end-to-end because it is sensitive, longitudinal, and uniquely benefits from strict runtime consent.</w:t>
      </w:r>
    </w:p>
    <w:p w14:paraId="0FDDA681" w14:textId="77777777" w:rsidR="00372DE3" w:rsidRDefault="00000000">
      <w:pPr>
        <w:pStyle w:val="ListBullet"/>
      </w:pPr>
      <w:r>
        <w:t>The compounding asset is a canonical, normalized, longitudinal, computable health ledger (not storage).</w:t>
      </w:r>
    </w:p>
    <w:p w14:paraId="45495E5B" w14:textId="77777777" w:rsidR="00372DE3" w:rsidRDefault="00000000">
      <w:pPr>
        <w:pStyle w:val="ListBullet"/>
      </w:pPr>
      <w:r>
        <w:t>The defensible differentiator is governance enforcement: runtime, scoped participation with mandatory TTL and audit-grade receipts ("referee + evidence").</w:t>
      </w:r>
    </w:p>
    <w:p w14:paraId="2AB5AB71" w14:textId="77777777" w:rsidR="00372DE3" w:rsidRDefault="00000000">
      <w:pPr>
        <w:pStyle w:val="ListBullet"/>
      </w:pPr>
      <w:r>
        <w:t>Primary user belief: “This is where my health context lives — and I control how it participates.”</w:t>
      </w:r>
    </w:p>
    <w:p w14:paraId="167ED47C" w14:textId="77777777" w:rsidR="00372DE3" w:rsidRDefault="00000000">
      <w:pPr>
        <w:pStyle w:val="ListBullet"/>
      </w:pPr>
      <w:r>
        <w:t>Near-term distribution is driven by wearable enthusiasts and AI-native users; institutional monetization is later and must never sell the consumer out.</w:t>
      </w:r>
    </w:p>
    <w:p w14:paraId="1AAA68FF" w14:textId="77777777" w:rsidR="00372DE3" w:rsidRDefault="00372DE3"/>
    <w:p w14:paraId="168AD136" w14:textId="77777777" w:rsidR="00372DE3" w:rsidRDefault="00000000">
      <w:pPr>
        <w:pStyle w:val="Heading2"/>
      </w:pPr>
      <w:r>
        <w:t>Non-Negotiables</w:t>
      </w:r>
    </w:p>
    <w:p w14:paraId="6688BE89" w14:textId="77777777" w:rsidR="00372DE3" w:rsidRDefault="00000000">
      <w:pPr>
        <w:pStyle w:val="ListBullet"/>
      </w:pPr>
      <w:r>
        <w:t>Consumer-first always. Infrastructure and enterprise leverage are optional and must remain secondary to user trust.</w:t>
      </w:r>
    </w:p>
    <w:p w14:paraId="27027745" w14:textId="77777777" w:rsidR="00372DE3" w:rsidRDefault="00000000">
      <w:pPr>
        <w:pStyle w:val="ListBullet"/>
      </w:pPr>
      <w:r>
        <w:t>Security incidents are existential; minimize surface area, enforce strong access controls, and log everything necessary for forensics.</w:t>
      </w:r>
    </w:p>
    <w:p w14:paraId="24A66251" w14:textId="77777777" w:rsidR="00372DE3" w:rsidRDefault="00000000">
      <w:pPr>
        <w:pStyle w:val="ListBullet"/>
      </w:pPr>
      <w:r>
        <w:t>Runtime enforcement and mandatory TTL are core to the governance claim (not a UI preference).</w:t>
      </w:r>
    </w:p>
    <w:p w14:paraId="1E168582" w14:textId="77777777" w:rsidR="00372DE3" w:rsidRDefault="00000000">
      <w:pPr>
        <w:pStyle w:val="ListBullet"/>
      </w:pPr>
      <w:r>
        <w:t>No medical advice positioning. We provide organization, baselines, deviation signals, and user-controlled participation — not diagnosis.</w:t>
      </w:r>
    </w:p>
    <w:p w14:paraId="610C9C06" w14:textId="77777777" w:rsidR="00372DE3" w:rsidRDefault="00372DE3"/>
    <w:p w14:paraId="3BCA7D2E" w14:textId="77777777" w:rsidR="00372DE3" w:rsidRDefault="00000000">
      <w:pPr>
        <w:pStyle w:val="Heading1"/>
      </w:pPr>
      <w:r>
        <w:t>Core Definitions</w:t>
      </w:r>
    </w:p>
    <w:p w14:paraId="62310FDF" w14:textId="77777777" w:rsidR="00372DE3" w:rsidRDefault="00000000">
      <w:r>
        <w:t>Use these terms consistently across all documents and build artifacts: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238"/>
      </w:tblGrid>
      <w:tr w:rsidR="00372DE3" w14:paraId="4B0D2948" w14:textId="77777777" w:rsidTr="00372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3AC6C4" w14:textId="77777777" w:rsidR="00372DE3" w:rsidRDefault="00000000">
            <w:r>
              <w:t>Term</w:t>
            </w:r>
          </w:p>
        </w:tc>
        <w:tc>
          <w:tcPr>
            <w:tcW w:w="7488" w:type="dxa"/>
          </w:tcPr>
          <w:p w14:paraId="5CE7FE21" w14:textId="77777777" w:rsidR="0037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(operational)</w:t>
            </w:r>
          </w:p>
        </w:tc>
      </w:tr>
      <w:tr w:rsidR="00372DE3" w14:paraId="2D664435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2F57B35" w14:textId="77777777" w:rsidR="00372DE3" w:rsidRDefault="00000000">
            <w:r>
              <w:t>Context layer</w:t>
            </w:r>
          </w:p>
        </w:tc>
        <w:tc>
          <w:tcPr>
            <w:tcW w:w="7488" w:type="dxa"/>
          </w:tcPr>
          <w:p w14:paraId="2E84881B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persistent user-owned layer that normalizes sensitive data and governs how it is used by apps, clinicians, and AI labs.</w:t>
            </w:r>
          </w:p>
        </w:tc>
      </w:tr>
      <w:tr w:rsidR="00372DE3" w14:paraId="4E18F64B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7537B45" w14:textId="77777777" w:rsidR="00372DE3" w:rsidRDefault="00000000">
            <w:r>
              <w:t>Ledger</w:t>
            </w:r>
          </w:p>
        </w:tc>
        <w:tc>
          <w:tcPr>
            <w:tcW w:w="7488" w:type="dxa"/>
          </w:tcPr>
          <w:p w14:paraId="68ACF3FC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canonical, normalized, longitudinal, computable record of a person’s health context (not a PDF vault).</w:t>
            </w:r>
          </w:p>
        </w:tc>
      </w:tr>
      <w:tr w:rsidR="00372DE3" w14:paraId="44EEE9FF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EAD7CBB" w14:textId="77777777" w:rsidR="00372DE3" w:rsidRDefault="00000000">
            <w:r>
              <w:t>Governance</w:t>
            </w:r>
          </w:p>
        </w:tc>
        <w:tc>
          <w:tcPr>
            <w:tcW w:w="7488" w:type="dxa"/>
          </w:tcPr>
          <w:p w14:paraId="5096D179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Rules for authorized participation: scope, time, purpose, output constraints, revocation, and audit-grade receipts.</w:t>
            </w:r>
          </w:p>
        </w:tc>
      </w:tr>
      <w:tr w:rsidR="00372DE3" w14:paraId="79A02AD3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C93A9B7" w14:textId="77777777" w:rsidR="00372DE3" w:rsidRDefault="00000000">
            <w:r>
              <w:t>Security</w:t>
            </w:r>
          </w:p>
        </w:tc>
        <w:tc>
          <w:tcPr>
            <w:tcW w:w="7488" w:type="dxa"/>
          </w:tcPr>
          <w:p w14:paraId="67E28F4B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that prevent unauthorized access, tampering, or breach (encryption, authZ/authN, isolation, monitoring).</w:t>
            </w:r>
          </w:p>
        </w:tc>
      </w:tr>
      <w:tr w:rsidR="00372DE3" w14:paraId="37986683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097E727" w14:textId="77777777" w:rsidR="00372DE3" w:rsidRDefault="00000000">
            <w:r>
              <w:t>Clinical labs</w:t>
            </w:r>
          </w:p>
        </w:tc>
        <w:tc>
          <w:tcPr>
            <w:tcW w:w="7488" w:type="dxa"/>
          </w:tcPr>
          <w:p w14:paraId="2E8B7872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Biomarker testing providers (e.g., Quest/Labcorp and similar).</w:t>
            </w:r>
          </w:p>
        </w:tc>
      </w:tr>
      <w:tr w:rsidR="00372DE3" w14:paraId="7B20BF42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CA172CC" w14:textId="77777777" w:rsidR="00372DE3" w:rsidRDefault="00000000">
            <w:r>
              <w:t>AI labs</w:t>
            </w:r>
          </w:p>
        </w:tc>
        <w:tc>
          <w:tcPr>
            <w:tcW w:w="7488" w:type="dxa"/>
          </w:tcPr>
          <w:p w14:paraId="08BDF9B1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providers (e.g., OpenAI / Anthropic / xAI and future models).</w:t>
            </w:r>
          </w:p>
        </w:tc>
      </w:tr>
      <w:tr w:rsidR="00372DE3" w14:paraId="7DFBC9D5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563D84" w14:textId="77777777" w:rsidR="00372DE3" w:rsidRDefault="00000000">
            <w:r>
              <w:t>TTL</w:t>
            </w:r>
          </w:p>
        </w:tc>
        <w:tc>
          <w:tcPr>
            <w:tcW w:w="7488" w:type="dxa"/>
          </w:tcPr>
          <w:p w14:paraId="3182B238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Time-to-live for every grant. Mandatory by default; access expires unless explicitly re-granted.</w:t>
            </w:r>
          </w:p>
        </w:tc>
      </w:tr>
      <w:tr w:rsidR="00372DE3" w14:paraId="74827A44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7AF920" w14:textId="77777777" w:rsidR="00372DE3" w:rsidRDefault="00000000">
            <w:r>
              <w:t>Scoped token / grant</w:t>
            </w:r>
          </w:p>
        </w:tc>
        <w:tc>
          <w:tcPr>
            <w:tcW w:w="7488" w:type="dxa"/>
          </w:tcPr>
          <w:p w14:paraId="6BB40721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short-lived capability credential that encodes scope + constraints; invalidates automatically on expiry or revocation.</w:t>
            </w:r>
          </w:p>
        </w:tc>
      </w:tr>
      <w:tr w:rsidR="00372DE3" w14:paraId="094D9D86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C997784" w14:textId="77777777" w:rsidR="00372DE3" w:rsidRDefault="00000000">
            <w:r>
              <w:t>Participation receipt</w:t>
            </w:r>
          </w:p>
        </w:tc>
        <w:tc>
          <w:tcPr>
            <w:tcW w:w="7488" w:type="dxa"/>
          </w:tcPr>
          <w:p w14:paraId="368AE3B0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human-readable + machine-verifiable record of what was accessed, under what constraints, for how long, and what outputs were permitted.</w:t>
            </w:r>
          </w:p>
        </w:tc>
      </w:tr>
      <w:tr w:rsidR="00372DE3" w14:paraId="6F35A360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1A0D535" w14:textId="77777777" w:rsidR="00372DE3" w:rsidRDefault="00000000">
            <w:r>
              <w:t>Safe AI Mode</w:t>
            </w:r>
          </w:p>
        </w:tc>
        <w:tc>
          <w:tcPr>
            <w:tcW w:w="7488" w:type="dxa"/>
          </w:tcPr>
          <w:p w14:paraId="121FF639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user-visible mode in which AI participation is always scoped, time-bound, logged, and constrained by default.</w:t>
            </w:r>
          </w:p>
        </w:tc>
      </w:tr>
    </w:tbl>
    <w:p w14:paraId="77C987D4" w14:textId="77777777" w:rsidR="00372DE3" w:rsidRDefault="00372DE3"/>
    <w:p w14:paraId="096CD278" w14:textId="77777777" w:rsidR="00372DE3" w:rsidRDefault="00000000">
      <w:pPr>
        <w:pStyle w:val="Heading1"/>
      </w:pPr>
      <w:r>
        <w:t>What We Are Building</w:t>
      </w:r>
    </w:p>
    <w:p w14:paraId="2ED30236" w14:textId="77777777" w:rsidR="00372DE3" w:rsidRDefault="00000000">
      <w:r>
        <w:t>Consentext is not a dashboard contest. It is a layer users trust to hold and govern their health context.</w:t>
      </w:r>
    </w:p>
    <w:p w14:paraId="7008A96E" w14:textId="77777777" w:rsidR="00372DE3" w:rsidRDefault="00000000">
      <w:pPr>
        <w:pStyle w:val="Heading2"/>
      </w:pPr>
      <w:r>
        <w:t>User-facing product primitives</w:t>
      </w:r>
    </w:p>
    <w:p w14:paraId="1758DCAC" w14:textId="77777777" w:rsidR="00372DE3" w:rsidRDefault="00000000">
      <w:pPr>
        <w:pStyle w:val="ListBullet"/>
      </w:pPr>
      <w:r>
        <w:t>Health Baseline: personal baseline ranges and deviation signals derived from longitudinal history (change-from-you, not generic ranges).</w:t>
      </w:r>
    </w:p>
    <w:p w14:paraId="471661C4" w14:textId="77777777" w:rsidR="00372DE3" w:rsidRDefault="00000000">
      <w:pPr>
        <w:pStyle w:val="ListBullet"/>
      </w:pPr>
      <w:r>
        <w:t>Vault: user-owned store of structured health context (wearables + labs + diagnostics as available), with clean export.</w:t>
      </w:r>
    </w:p>
    <w:p w14:paraId="40B16748" w14:textId="77777777" w:rsidR="00372DE3" w:rsidRDefault="00000000">
      <w:pPr>
        <w:pStyle w:val="ListBullet"/>
      </w:pPr>
      <w:r>
        <w:t>Safe AI Mode: one-click AI participation with mandatory TTL, scoped access, and receipts.</w:t>
      </w:r>
    </w:p>
    <w:p w14:paraId="70D40F24" w14:textId="77777777" w:rsidR="00372DE3" w:rsidRDefault="00000000">
      <w:pPr>
        <w:pStyle w:val="ListBullet"/>
      </w:pPr>
      <w:r>
        <w:t>Control Center: simple surfaces for permissions, expiries, revocation, and receipt history (kept legible and non-bureaucratic).</w:t>
      </w:r>
    </w:p>
    <w:p w14:paraId="1255DE0E" w14:textId="77777777" w:rsidR="00372DE3" w:rsidRDefault="00000000">
      <w:pPr>
        <w:pStyle w:val="Heading2"/>
      </w:pPr>
      <w:r>
        <w:t>System primitives (what developers actually build)</w:t>
      </w:r>
    </w:p>
    <w:p w14:paraId="033469E0" w14:textId="77777777" w:rsidR="00372DE3" w:rsidRDefault="00000000">
      <w:pPr>
        <w:pStyle w:val="ListBullet"/>
      </w:pPr>
      <w:r>
        <w:t>Normalization pipelines: map incoming data into consistent units, categories, and provenance fields.</w:t>
      </w:r>
    </w:p>
    <w:p w14:paraId="0CCE5EFD" w14:textId="77777777" w:rsidR="00372DE3" w:rsidRDefault="00000000">
      <w:pPr>
        <w:pStyle w:val="ListBullet"/>
      </w:pPr>
      <w:r>
        <w:t>Policy engine: evaluates participation requests against user defaults and system constraints.</w:t>
      </w:r>
    </w:p>
    <w:p w14:paraId="641ED49F" w14:textId="77777777" w:rsidR="00372DE3" w:rsidRDefault="00000000">
      <w:pPr>
        <w:pStyle w:val="ListBullet"/>
      </w:pPr>
      <w:r>
        <w:t>Grant service: issues scoped, time-bound grants (tokens) and enforces expiry / revocation.</w:t>
      </w:r>
    </w:p>
    <w:p w14:paraId="0DCFB7E4" w14:textId="77777777" w:rsidR="00372DE3" w:rsidRDefault="00000000">
      <w:pPr>
        <w:pStyle w:val="ListBullet"/>
      </w:pPr>
      <w:r>
        <w:t>Receipt service: generates human-readable receipts and appends machine-verifiable event logs.</w:t>
      </w:r>
    </w:p>
    <w:p w14:paraId="74CE4BBD" w14:textId="77777777" w:rsidR="00372DE3" w:rsidRDefault="00000000">
      <w:pPr>
        <w:pStyle w:val="ListBullet"/>
      </w:pPr>
      <w:r>
        <w:t>Connectors: wearables, lab ingestion (upload + ordering), and export formats.</w:t>
      </w:r>
    </w:p>
    <w:p w14:paraId="293C8E6B" w14:textId="77777777" w:rsidR="00372DE3" w:rsidRDefault="00372DE3"/>
    <w:p w14:paraId="133062FC" w14:textId="77777777" w:rsidR="00372DE3" w:rsidRDefault="00000000">
      <w:pPr>
        <w:pStyle w:val="Heading1"/>
      </w:pPr>
      <w:r>
        <w:t>Decisions Made</w:t>
      </w:r>
    </w:p>
    <w:p w14:paraId="4252154B" w14:textId="77777777" w:rsidR="00372DE3" w:rsidRDefault="00000000">
      <w:r>
        <w:t>These are explicit founder stances locked during the Feb 19, 2026 alignment session: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6143"/>
      </w:tblGrid>
      <w:tr w:rsidR="00372DE3" w14:paraId="4B041C46" w14:textId="77777777" w:rsidTr="00372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207BD7A" w14:textId="77777777" w:rsidR="00372DE3" w:rsidRDefault="00000000">
            <w:r>
              <w:t>Decision</w:t>
            </w:r>
          </w:p>
        </w:tc>
        <w:tc>
          <w:tcPr>
            <w:tcW w:w="6336" w:type="dxa"/>
          </w:tcPr>
          <w:p w14:paraId="5DFCEC5A" w14:textId="77777777" w:rsidR="0037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Stance</w:t>
            </w:r>
          </w:p>
        </w:tc>
      </w:tr>
      <w:tr w:rsidR="00372DE3" w14:paraId="5B685AB6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7BD92A0" w14:textId="77777777" w:rsidR="00372DE3" w:rsidRDefault="00000000">
            <w:r>
              <w:t>First domain governed end-to-end</w:t>
            </w:r>
          </w:p>
        </w:tc>
        <w:tc>
          <w:tcPr>
            <w:tcW w:w="6336" w:type="dxa"/>
          </w:tcPr>
          <w:p w14:paraId="3EAF053A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Health.</w:t>
            </w:r>
          </w:p>
        </w:tc>
      </w:tr>
      <w:tr w:rsidR="00372DE3" w14:paraId="1F4B0BE9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D6CCD63" w14:textId="77777777" w:rsidR="00372DE3" w:rsidRDefault="00000000">
            <w:r>
              <w:t>Governance posture</w:t>
            </w:r>
          </w:p>
        </w:tc>
        <w:tc>
          <w:tcPr>
            <w:tcW w:w="6336" w:type="dxa"/>
          </w:tcPr>
          <w:p w14:paraId="62101D90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Runtime revocation + mandatory TTL by default (no persistent open grants).</w:t>
            </w:r>
          </w:p>
        </w:tc>
      </w:tr>
      <w:tr w:rsidR="00372DE3" w14:paraId="1E724F88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D14A105" w14:textId="77777777" w:rsidR="00372DE3" w:rsidRDefault="00000000">
            <w:r>
              <w:t>First user-visible win</w:t>
            </w:r>
          </w:p>
        </w:tc>
        <w:tc>
          <w:tcPr>
            <w:tcW w:w="6336" w:type="dxa"/>
          </w:tcPr>
          <w:p w14:paraId="3B71F936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longitudinal baseline + Safe AI Mode (no medical advice framing).</w:t>
            </w:r>
          </w:p>
        </w:tc>
      </w:tr>
      <w:tr w:rsidR="00372DE3" w14:paraId="4BABC5D7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261CFC0" w14:textId="77777777" w:rsidR="00372DE3" w:rsidRDefault="00000000">
            <w:r>
              <w:t>First enforcement constraint we lead with</w:t>
            </w:r>
          </w:p>
        </w:tc>
        <w:tc>
          <w:tcPr>
            <w:tcW w:w="6336" w:type="dxa"/>
          </w:tcPr>
          <w:p w14:paraId="1D6BCD32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Participation receipts (audit-grade transparency).</w:t>
            </w:r>
          </w:p>
        </w:tc>
      </w:tr>
      <w:tr w:rsidR="00372DE3" w14:paraId="70396A68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7D1984F" w14:textId="77777777" w:rsidR="00372DE3" w:rsidRDefault="00000000">
            <w:r>
              <w:t>Proof artifact shape</w:t>
            </w:r>
          </w:p>
        </w:tc>
        <w:tc>
          <w:tcPr>
            <w:tcW w:w="6336" w:type="dxa"/>
          </w:tcPr>
          <w:p w14:paraId="5ECCC1F3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Dual-layer receipts: human-readable surface + machine-verifiable backend log.</w:t>
            </w:r>
          </w:p>
        </w:tc>
      </w:tr>
      <w:tr w:rsidR="00372DE3" w14:paraId="67E22A11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5B3FD88" w14:textId="77777777" w:rsidR="00372DE3" w:rsidRDefault="00000000">
            <w:r>
              <w:t>Primary distribution loop (v1)</w:t>
            </w:r>
          </w:p>
        </w:tc>
        <w:tc>
          <w:tcPr>
            <w:tcW w:w="6336" w:type="dxa"/>
          </w:tcPr>
          <w:p w14:paraId="45123E05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Wearable enthusiasts + AI-native users (no dependency on partner marketplaces at launch).</w:t>
            </w:r>
          </w:p>
        </w:tc>
      </w:tr>
      <w:tr w:rsidR="00372DE3" w14:paraId="483AA611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74CFB9" w14:textId="77777777" w:rsidR="00372DE3" w:rsidRDefault="00000000">
            <w:r>
              <w:t>Monetization philosophy</w:t>
            </w:r>
          </w:p>
        </w:tc>
        <w:tc>
          <w:tcPr>
            <w:tcW w:w="6336" w:type="dxa"/>
          </w:tcPr>
          <w:p w14:paraId="1E51EE96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Delay profit optimization; labs can be pass-through; meaningful monetization later via clinics/payers/partners — only under explicit consent and without selling the consumer out.</w:t>
            </w:r>
          </w:p>
        </w:tc>
      </w:tr>
      <w:tr w:rsidR="00372DE3" w14:paraId="312CF51F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D01AF26" w14:textId="77777777" w:rsidR="00372DE3" w:rsidRDefault="00000000">
            <w:r>
              <w:t>Product identity</w:t>
            </w:r>
          </w:p>
        </w:tc>
        <w:tc>
          <w:tcPr>
            <w:tcW w:w="6336" w:type="dxa"/>
          </w:tcPr>
          <w:p w14:paraId="14A8F789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Consumer-first personal context layer; infrastructure licensable only if earned, never ahead of the consumer.</w:t>
            </w:r>
          </w:p>
        </w:tc>
      </w:tr>
    </w:tbl>
    <w:p w14:paraId="24C48280" w14:textId="77777777" w:rsidR="00372DE3" w:rsidRDefault="00372DE3"/>
    <w:p w14:paraId="21CF32FB" w14:textId="77777777" w:rsidR="00372DE3" w:rsidRDefault="00000000">
      <w:pPr>
        <w:pStyle w:val="Heading1"/>
      </w:pPr>
      <w:r>
        <w:t>V1 Scope for Phase 3.75</w:t>
      </w:r>
    </w:p>
    <w:p w14:paraId="24E38FCB" w14:textId="77777777" w:rsidR="00372DE3" w:rsidRDefault="00000000">
      <w:r>
        <w:t>You stated the current system scope includes items 1–7. The practical discipline is maturity tiering (how deep each is in v1), not deleting the vision.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781"/>
        <w:gridCol w:w="2773"/>
        <w:gridCol w:w="1706"/>
      </w:tblGrid>
      <w:tr w:rsidR="00372DE3" w14:paraId="1A8C5328" w14:textId="77777777" w:rsidTr="00372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9101299" w14:textId="77777777" w:rsidR="00372DE3" w:rsidRDefault="00000000">
            <w:r>
              <w:t>Capability</w:t>
            </w:r>
          </w:p>
        </w:tc>
        <w:tc>
          <w:tcPr>
            <w:tcW w:w="2880" w:type="dxa"/>
          </w:tcPr>
          <w:p w14:paraId="08A645BC" w14:textId="77777777" w:rsidR="0037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V1: Must be solid (spine)</w:t>
            </w:r>
          </w:p>
        </w:tc>
        <w:tc>
          <w:tcPr>
            <w:tcW w:w="2880" w:type="dxa"/>
          </w:tcPr>
          <w:p w14:paraId="6DCE0214" w14:textId="77777777" w:rsidR="0037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V1: Functional (lightweight)</w:t>
            </w:r>
          </w:p>
        </w:tc>
        <w:tc>
          <w:tcPr>
            <w:tcW w:w="1728" w:type="dxa"/>
          </w:tcPr>
          <w:p w14:paraId="1332AFBB" w14:textId="77777777" w:rsidR="0037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Later / defer</w:t>
            </w:r>
          </w:p>
        </w:tc>
      </w:tr>
      <w:tr w:rsidR="00372DE3" w14:paraId="05AD53CC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45EDE2E" w14:textId="77777777" w:rsidR="00372DE3" w:rsidRDefault="00000000">
            <w:r>
              <w:t>1) Wearable ingestion + normalization</w:t>
            </w:r>
          </w:p>
        </w:tc>
        <w:tc>
          <w:tcPr>
            <w:tcW w:w="2880" w:type="dxa"/>
          </w:tcPr>
          <w:p w14:paraId="167E4A7A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2–3 core wearables; clean normalization + provenance</w:t>
            </w:r>
          </w:p>
        </w:tc>
        <w:tc>
          <w:tcPr>
            <w:tcW w:w="2880" w:type="dxa"/>
          </w:tcPr>
          <w:p w14:paraId="05FBF3E7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Broader OEM coverage</w:t>
            </w:r>
          </w:p>
        </w:tc>
        <w:tc>
          <w:tcPr>
            <w:tcW w:w="1728" w:type="dxa"/>
          </w:tcPr>
          <w:p w14:paraId="2DC8A6A2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tail OEMs; deep partnerships</w:t>
            </w:r>
          </w:p>
        </w:tc>
      </w:tr>
      <w:tr w:rsidR="00372DE3" w14:paraId="221B9775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5745C66" w14:textId="77777777" w:rsidR="00372DE3" w:rsidRDefault="00000000">
            <w:r>
              <w:t>2) Lab upload + structured parsing</w:t>
            </w:r>
          </w:p>
        </w:tc>
        <w:tc>
          <w:tcPr>
            <w:tcW w:w="2880" w:type="dxa"/>
          </w:tcPr>
          <w:p w14:paraId="3C09A419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 biomarkers; basic unit normalization; provenance; quality flags</w:t>
            </w:r>
          </w:p>
        </w:tc>
        <w:tc>
          <w:tcPr>
            <w:tcW w:w="2880" w:type="dxa"/>
          </w:tcPr>
          <w:p w14:paraId="58E93443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Broader panels; smarter parsing; more context</w:t>
            </w:r>
          </w:p>
        </w:tc>
        <w:tc>
          <w:tcPr>
            <w:tcW w:w="1728" w:type="dxa"/>
          </w:tcPr>
          <w:p w14:paraId="0586DEBC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EHR ingestion and deep clinical abstraction</w:t>
            </w:r>
          </w:p>
        </w:tc>
      </w:tr>
      <w:tr w:rsidR="00372DE3" w14:paraId="17EDE33B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78E3015" w14:textId="77777777" w:rsidR="00372DE3" w:rsidRDefault="00000000">
            <w:r>
              <w:t>3) Baseline + deviation engine</w:t>
            </w:r>
          </w:p>
        </w:tc>
        <w:tc>
          <w:tcPr>
            <w:tcW w:w="2880" w:type="dxa"/>
          </w:tcPr>
          <w:p w14:paraId="44D76188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baselines + deviation signals (change-from-you)</w:t>
            </w:r>
          </w:p>
        </w:tc>
        <w:tc>
          <w:tcPr>
            <w:tcW w:w="2880" w:type="dxa"/>
          </w:tcPr>
          <w:p w14:paraId="15C57853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 overlays + trend explainability</w:t>
            </w:r>
          </w:p>
        </w:tc>
        <w:tc>
          <w:tcPr>
            <w:tcW w:w="1728" w:type="dxa"/>
          </w:tcPr>
          <w:p w14:paraId="53A5BA6E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intervention-response modeling</w:t>
            </w:r>
          </w:p>
        </w:tc>
      </w:tr>
      <w:tr w:rsidR="00372DE3" w14:paraId="14D1085F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C331D09" w14:textId="77777777" w:rsidR="00372DE3" w:rsidRDefault="00000000">
            <w:r>
              <w:t>4) Safe AI Mode (TTL mandatory)</w:t>
            </w:r>
          </w:p>
        </w:tc>
        <w:tc>
          <w:tcPr>
            <w:tcW w:w="2880" w:type="dxa"/>
          </w:tcPr>
          <w:p w14:paraId="6FEDAA7F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One-click participation with hard expiry + revocation</w:t>
            </w:r>
          </w:p>
        </w:tc>
        <w:tc>
          <w:tcPr>
            <w:tcW w:w="2880" w:type="dxa"/>
          </w:tcPr>
          <w:p w14:paraId="0BB2CE3D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scopes + purpose templates</w:t>
            </w:r>
          </w:p>
        </w:tc>
        <w:tc>
          <w:tcPr>
            <w:tcW w:w="1728" w:type="dxa"/>
          </w:tcPr>
          <w:p w14:paraId="659EB6A0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Multi-agent orchestration and marketplace</w:t>
            </w:r>
          </w:p>
        </w:tc>
      </w:tr>
      <w:tr w:rsidR="00372DE3" w14:paraId="50CF7FB3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3ADBBC" w14:textId="77777777" w:rsidR="00372DE3" w:rsidRDefault="00000000">
            <w:r>
              <w:t>5) Participation receipts</w:t>
            </w:r>
          </w:p>
        </w:tc>
        <w:tc>
          <w:tcPr>
            <w:tcW w:w="2880" w:type="dxa"/>
          </w:tcPr>
          <w:p w14:paraId="170C901E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receipt + machine log for each session</w:t>
            </w:r>
          </w:p>
        </w:tc>
        <w:tc>
          <w:tcPr>
            <w:tcW w:w="2880" w:type="dxa"/>
          </w:tcPr>
          <w:p w14:paraId="58019A0D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Better receipt UX + export formats</w:t>
            </w:r>
          </w:p>
        </w:tc>
        <w:tc>
          <w:tcPr>
            <w:tcW w:w="1728" w:type="dxa"/>
          </w:tcPr>
          <w:p w14:paraId="507FC5AE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attestation programs / verified agent tier</w:t>
            </w:r>
          </w:p>
        </w:tc>
      </w:tr>
      <w:tr w:rsidR="00372DE3" w14:paraId="40A4F2FB" w14:textId="77777777" w:rsidTr="00372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362C78D" w14:textId="77777777" w:rsidR="00372DE3" w:rsidRDefault="00000000">
            <w:r>
              <w:t>6) Vault storage + export</w:t>
            </w:r>
          </w:p>
        </w:tc>
        <w:tc>
          <w:tcPr>
            <w:tcW w:w="2880" w:type="dxa"/>
          </w:tcPr>
          <w:p w14:paraId="3F8E37AD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User-owned structured store; export a clean report</w:t>
            </w:r>
          </w:p>
        </w:tc>
        <w:tc>
          <w:tcPr>
            <w:tcW w:w="2880" w:type="dxa"/>
          </w:tcPr>
          <w:p w14:paraId="4DFABE50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Richer exports; clinician-friendly formatting</w:t>
            </w:r>
          </w:p>
        </w:tc>
        <w:tc>
          <w:tcPr>
            <w:tcW w:w="1728" w:type="dxa"/>
          </w:tcPr>
          <w:p w14:paraId="2763F46E" w14:textId="77777777" w:rsidR="00372DE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Clinic portal and workflow integrations</w:t>
            </w:r>
          </w:p>
        </w:tc>
      </w:tr>
      <w:tr w:rsidR="00372DE3" w14:paraId="7785FB4D" w14:textId="77777777" w:rsidTr="00372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30A6AEB" w14:textId="77777777" w:rsidR="00372DE3" w:rsidRDefault="00000000">
            <w:r>
              <w:t>7) Lab ordering pipeline</w:t>
            </w:r>
          </w:p>
        </w:tc>
        <w:tc>
          <w:tcPr>
            <w:tcW w:w="2880" w:type="dxa"/>
          </w:tcPr>
          <w:p w14:paraId="11B463C9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Working ordering flow; minimal operational complexity</w:t>
            </w:r>
          </w:p>
        </w:tc>
        <w:tc>
          <w:tcPr>
            <w:tcW w:w="2880" w:type="dxa"/>
          </w:tcPr>
          <w:p w14:paraId="5064C227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Optimization + broader coverage</w:t>
            </w:r>
          </w:p>
        </w:tc>
        <w:tc>
          <w:tcPr>
            <w:tcW w:w="1728" w:type="dxa"/>
          </w:tcPr>
          <w:p w14:paraId="44792B7C" w14:textId="77777777" w:rsidR="0037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Payer integrations / enterprise contracting</w:t>
            </w:r>
          </w:p>
        </w:tc>
      </w:tr>
    </w:tbl>
    <w:p w14:paraId="6A06AF35" w14:textId="77777777" w:rsidR="00372DE3" w:rsidRDefault="00372DE3"/>
    <w:p w14:paraId="1D7C765F" w14:textId="77777777" w:rsidR="00372DE3" w:rsidRDefault="00000000">
      <w:pPr>
        <w:pStyle w:val="Heading2"/>
      </w:pPr>
      <w:r>
        <w:t>What We Are Not Building Yet</w:t>
      </w:r>
    </w:p>
    <w:p w14:paraId="4AD5E67D" w14:textId="77777777" w:rsidR="00372DE3" w:rsidRDefault="00000000">
      <w:pPr>
        <w:pStyle w:val="ListBullet"/>
      </w:pPr>
      <w:r>
        <w:t>Clinic portal access as a primary workflow (later, once retention is proven).</w:t>
      </w:r>
    </w:p>
    <w:p w14:paraId="0AF82A4C" w14:textId="77777777" w:rsidR="00372DE3" w:rsidRDefault="00000000">
      <w:pPr>
        <w:pStyle w:val="ListBullet"/>
      </w:pPr>
      <w:r>
        <w:t>Intervention tracking as a deep system-of-record (optional later; not required for v1 thesis).</w:t>
      </w:r>
    </w:p>
    <w:p w14:paraId="6D7B53C3" w14:textId="77777777" w:rsidR="00372DE3" w:rsidRDefault="00000000">
      <w:pPr>
        <w:pStyle w:val="ListBullet"/>
      </w:pPr>
      <w:r>
        <w:t>Partner marketplaces or “verified agent” ecosystems that require heavy external coordination.</w:t>
      </w:r>
    </w:p>
    <w:p w14:paraId="2F495BD9" w14:textId="77777777" w:rsidR="00372DE3" w:rsidRDefault="00000000">
      <w:pPr>
        <w:pStyle w:val="ListBullet"/>
      </w:pPr>
      <w:r>
        <w:t>Cross-domain governance (finance, legal, identity) before health wedge is trusted.</w:t>
      </w:r>
    </w:p>
    <w:p w14:paraId="2C555EFD" w14:textId="77777777" w:rsidR="00372DE3" w:rsidRDefault="00372DE3"/>
    <w:p w14:paraId="6229CA81" w14:textId="77777777" w:rsidR="00372DE3" w:rsidRDefault="00000000">
      <w:pPr>
        <w:pStyle w:val="Heading1"/>
      </w:pPr>
      <w:r>
        <w:t>Governance Model in Practice</w:t>
      </w:r>
    </w:p>
    <w:p w14:paraId="784A9259" w14:textId="77777777" w:rsidR="00372DE3" w:rsidRDefault="00000000">
      <w:r>
        <w:t>Governance is not “consent UI.” It is runtime enforcement: every participation grant is scoped, time-bound, purpose-bound, and logged. The differentiator is that the rules are enforced when nobody is watching.</w:t>
      </w:r>
    </w:p>
    <w:p w14:paraId="5FDD5837" w14:textId="77777777" w:rsidR="00372DE3" w:rsidRDefault="00000000">
      <w:pPr>
        <w:pStyle w:val="Heading2"/>
      </w:pPr>
      <w:r>
        <w:t>Default posture</w:t>
      </w:r>
    </w:p>
    <w:p w14:paraId="498E27CC" w14:textId="77777777" w:rsidR="00372DE3" w:rsidRDefault="00000000">
      <w:pPr>
        <w:pStyle w:val="ListBullet"/>
      </w:pPr>
      <w:r>
        <w:t>Mandatory TTL for every grant (auto-expiry; no silent renewal).</w:t>
      </w:r>
    </w:p>
    <w:p w14:paraId="6D999393" w14:textId="77777777" w:rsidR="00372DE3" w:rsidRDefault="00000000">
      <w:pPr>
        <w:pStyle w:val="ListBullet"/>
      </w:pPr>
      <w:r>
        <w:t>Revocation invalidates access immediately (kills active sessions).</w:t>
      </w:r>
    </w:p>
    <w:p w14:paraId="37BF5FC5" w14:textId="77777777" w:rsidR="00372DE3" w:rsidRDefault="00000000">
      <w:pPr>
        <w:pStyle w:val="ListBullet"/>
      </w:pPr>
      <w:r>
        <w:t>Receipt generated for every participation event (human + machine).</w:t>
      </w:r>
    </w:p>
    <w:p w14:paraId="43C9DBA9" w14:textId="77777777" w:rsidR="00372DE3" w:rsidRDefault="00000000">
      <w:pPr>
        <w:pStyle w:val="Heading2"/>
      </w:pPr>
      <w:r>
        <w:t>Example user flow (Safe AI Mode)</w:t>
      </w:r>
    </w:p>
    <w:p w14:paraId="31FCCD18" w14:textId="77777777" w:rsidR="00372DE3" w:rsidRDefault="00000000">
      <w:pPr>
        <w:pStyle w:val="ListNumber"/>
      </w:pPr>
      <w:r>
        <w:t>User clicks: “Run AI in Safe Mode.”</w:t>
      </w:r>
    </w:p>
    <w:p w14:paraId="4A54DE5F" w14:textId="77777777" w:rsidR="00372DE3" w:rsidRDefault="00000000">
      <w:pPr>
        <w:pStyle w:val="ListNumber"/>
      </w:pPr>
      <w:r>
        <w:t>Consentext shows the request in plain language (scope, duration, constraints).</w:t>
      </w:r>
    </w:p>
    <w:p w14:paraId="34E3B562" w14:textId="77777777" w:rsidR="00372DE3" w:rsidRDefault="00000000">
      <w:pPr>
        <w:pStyle w:val="ListNumber"/>
      </w:pPr>
      <w:r>
        <w:t>Consentext issues a short-lived scoped grant with TTL + constraints.</w:t>
      </w:r>
    </w:p>
    <w:p w14:paraId="1EB24666" w14:textId="77777777" w:rsidR="00372DE3" w:rsidRDefault="00000000">
      <w:pPr>
        <w:pStyle w:val="ListNumber"/>
      </w:pPr>
      <w:r>
        <w:t>AI runs within the granted window.</w:t>
      </w:r>
    </w:p>
    <w:p w14:paraId="384369B5" w14:textId="77777777" w:rsidR="00372DE3" w:rsidRDefault="00000000">
      <w:pPr>
        <w:pStyle w:val="ListNumber"/>
      </w:pPr>
      <w:r>
        <w:t>Consentext logs a receipt and confirms expiry at TTL end (or on revocation).</w:t>
      </w:r>
    </w:p>
    <w:p w14:paraId="0D3B1681" w14:textId="77777777" w:rsidR="00372DE3" w:rsidRDefault="00000000">
      <w:pPr>
        <w:pStyle w:val="Heading2"/>
      </w:pPr>
      <w:r>
        <w:t>Receipt requirements (minimum)</w:t>
      </w:r>
    </w:p>
    <w:p w14:paraId="2EDB0CDC" w14:textId="77777777" w:rsidR="00372DE3" w:rsidRDefault="00000000">
      <w:pPr>
        <w:pStyle w:val="ListBullet"/>
      </w:pPr>
      <w:r>
        <w:t>Agent identity (AI lab / app identity) and time of request.</w:t>
      </w:r>
    </w:p>
    <w:p w14:paraId="24891E07" w14:textId="77777777" w:rsidR="00372DE3" w:rsidRDefault="00000000">
      <w:pPr>
        <w:pStyle w:val="ListBullet"/>
      </w:pPr>
      <w:r>
        <w:t>Data scope accessed (object classes and time ranges).</w:t>
      </w:r>
    </w:p>
    <w:p w14:paraId="3B51BEAC" w14:textId="77777777" w:rsidR="00372DE3" w:rsidRDefault="00000000">
      <w:pPr>
        <w:pStyle w:val="ListBullet"/>
      </w:pPr>
      <w:r>
        <w:t>TTL duration + expiry timestamp.</w:t>
      </w:r>
    </w:p>
    <w:p w14:paraId="4A0C94F1" w14:textId="77777777" w:rsidR="00372DE3" w:rsidRDefault="00000000">
      <w:pPr>
        <w:pStyle w:val="ListBullet"/>
      </w:pPr>
      <w:r>
        <w:t>Constraint summary (e.g., derived-only, no external retention) as declared / enforced at boundary.</w:t>
      </w:r>
    </w:p>
    <w:p w14:paraId="5FBAADD4" w14:textId="77777777" w:rsidR="00372DE3" w:rsidRDefault="00000000">
      <w:pPr>
        <w:pStyle w:val="ListBullet"/>
      </w:pPr>
      <w:r>
        <w:t>Receipt ID + integrity mechanism for the machine-readable log.</w:t>
      </w:r>
    </w:p>
    <w:p w14:paraId="17AB7469" w14:textId="77777777" w:rsidR="00372DE3" w:rsidRDefault="00372DE3"/>
    <w:p w14:paraId="279DA42E" w14:textId="77777777" w:rsidR="00372DE3" w:rsidRDefault="00000000">
      <w:pPr>
        <w:pStyle w:val="Heading1"/>
      </w:pPr>
      <w:r>
        <w:t>Ledger Compounding Loops</w:t>
      </w:r>
    </w:p>
    <w:p w14:paraId="65B04FDA" w14:textId="77777777" w:rsidR="00372DE3" w:rsidRDefault="00000000">
      <w:r>
        <w:t>The ledger compounds when it becomes better at explaining change-from-you over time. Storage does not compound; structured longitudinal intelligence does.</w:t>
      </w:r>
    </w:p>
    <w:p w14:paraId="37F4418D" w14:textId="77777777" w:rsidR="00372DE3" w:rsidRDefault="00000000">
      <w:pPr>
        <w:pStyle w:val="ListBullet"/>
      </w:pPr>
      <w:r>
        <w:t>Baseline ranges (your normal) vs population ranges (generic).</w:t>
      </w:r>
    </w:p>
    <w:p w14:paraId="30839285" w14:textId="77777777" w:rsidR="00372DE3" w:rsidRDefault="00000000">
      <w:pPr>
        <w:pStyle w:val="ListBullet"/>
      </w:pPr>
      <w:r>
        <w:t>Deviation detection tuned to the individual (reducing false positives is key to trust).</w:t>
      </w:r>
    </w:p>
    <w:p w14:paraId="4298B90E" w14:textId="77777777" w:rsidR="00372DE3" w:rsidRDefault="00000000">
      <w:pPr>
        <w:pStyle w:val="ListBullet"/>
      </w:pPr>
      <w:r>
        <w:t>Trend context: seasonality, training cycles, illness periods, aging/life-stage.</w:t>
      </w:r>
    </w:p>
    <w:p w14:paraId="78002586" w14:textId="77777777" w:rsidR="00372DE3" w:rsidRDefault="00000000">
      <w:pPr>
        <w:pStyle w:val="ListBullet"/>
      </w:pPr>
      <w:r>
        <w:t>Intervention-response history (optional later, but a strong compounding loop if done well).</w:t>
      </w:r>
    </w:p>
    <w:p w14:paraId="38AC84E9" w14:textId="77777777" w:rsidR="00372DE3" w:rsidRDefault="00000000">
      <w:pPr>
        <w:pStyle w:val="ListBullet"/>
      </w:pPr>
      <w:r>
        <w:t>Model leverage: any future AI becomes more useful when reading a clean longitudinal ledger.</w:t>
      </w:r>
    </w:p>
    <w:p w14:paraId="4D73A29B" w14:textId="77777777" w:rsidR="00372DE3" w:rsidRDefault="00372DE3"/>
    <w:p w14:paraId="6831E47B" w14:textId="77777777" w:rsidR="00372DE3" w:rsidRDefault="00000000">
      <w:pPr>
        <w:pStyle w:val="Heading1"/>
      </w:pPr>
      <w:r>
        <w:t>Distribution and Growth</w:t>
      </w:r>
    </w:p>
    <w:p w14:paraId="5D172A28" w14:textId="77777777" w:rsidR="00372DE3" w:rsidRDefault="00000000">
      <w:pPr>
        <w:pStyle w:val="Heading2"/>
      </w:pPr>
      <w:r>
        <w:t>Phase 1: Acquire users without partner dependency</w:t>
      </w:r>
    </w:p>
    <w:p w14:paraId="5CB93AD0" w14:textId="77777777" w:rsidR="00372DE3" w:rsidRDefault="00000000">
      <w:pPr>
        <w:pStyle w:val="ListBullet"/>
      </w:pPr>
      <w:r>
        <w:t>Wearable enthusiasts: cross-platform normalization + baseline; appeal to “quantified self” behaviors.</w:t>
      </w:r>
    </w:p>
    <w:p w14:paraId="4912282F" w14:textId="77777777" w:rsidR="00372DE3" w:rsidRDefault="00000000">
      <w:pPr>
        <w:pStyle w:val="ListBullet"/>
      </w:pPr>
      <w:r>
        <w:t>AI-native users: “Stop pasting labs into ChatGPT. Use Safe AI Mode with receipts + expiry.”</w:t>
      </w:r>
    </w:p>
    <w:p w14:paraId="589C7F1F" w14:textId="77777777" w:rsidR="00372DE3" w:rsidRDefault="00000000">
      <w:pPr>
        <w:pStyle w:val="Heading2"/>
      </w:pPr>
      <w:r>
        <w:t>Phase 2: Deepen retention</w:t>
      </w:r>
    </w:p>
    <w:p w14:paraId="06C59F42" w14:textId="77777777" w:rsidR="00372DE3" w:rsidRDefault="00000000">
      <w:pPr>
        <w:pStyle w:val="ListBullet"/>
      </w:pPr>
      <w:r>
        <w:t>Labs (upload and/or ordering) deepen the baseline and make the ledger irreplaceable over time.</w:t>
      </w:r>
    </w:p>
    <w:p w14:paraId="667B5608" w14:textId="77777777" w:rsidR="00372DE3" w:rsidRDefault="00000000">
      <w:pPr>
        <w:pStyle w:val="ListBullet"/>
      </w:pPr>
      <w:r>
        <w:t>Receipts and visible control increase trust and reduce fear of AI participation.</w:t>
      </w:r>
    </w:p>
    <w:p w14:paraId="24A04D72" w14:textId="77777777" w:rsidR="00372DE3" w:rsidRDefault="00000000">
      <w:pPr>
        <w:pStyle w:val="Heading2"/>
      </w:pPr>
      <w:r>
        <w:t>Phase 3: Clinician adoption and institutional leverage</w:t>
      </w:r>
    </w:p>
    <w:p w14:paraId="34C7CE67" w14:textId="77777777" w:rsidR="00372DE3" w:rsidRDefault="00000000">
      <w:pPr>
        <w:pStyle w:val="ListBullet"/>
      </w:pPr>
      <w:r>
        <w:t>Clinician-ready exports become the bridge to portal workflows.</w:t>
      </w:r>
    </w:p>
    <w:p w14:paraId="704623E6" w14:textId="77777777" w:rsidR="00372DE3" w:rsidRDefault="00000000">
      <w:pPr>
        <w:pStyle w:val="ListBullet"/>
      </w:pPr>
      <w:r>
        <w:t>Institutional revenue (clinics/payers/partners) must remain opt-in and consent-bound; it must feel aligned with the user, not extractive.</w:t>
      </w:r>
    </w:p>
    <w:p w14:paraId="4DDC30A1" w14:textId="77777777" w:rsidR="00372DE3" w:rsidRDefault="00372DE3"/>
    <w:p w14:paraId="134276EB" w14:textId="77777777" w:rsidR="00372DE3" w:rsidRDefault="00000000">
      <w:pPr>
        <w:pStyle w:val="Heading1"/>
      </w:pPr>
      <w:r>
        <w:t>Monetization Philosophy (Candid)</w:t>
      </w:r>
    </w:p>
    <w:p w14:paraId="77D8D475" w14:textId="77777777" w:rsidR="00372DE3" w:rsidRDefault="00000000">
      <w:r>
        <w:t>Near-term success is not defined by maximizing revenue early; it is defined by proving trust + retention. Monetization should not compromise user trust or the “we work for the user” posture.</w:t>
      </w:r>
    </w:p>
    <w:p w14:paraId="545B8A75" w14:textId="77777777" w:rsidR="00372DE3" w:rsidRDefault="00000000">
      <w:pPr>
        <w:pStyle w:val="ListBullet"/>
      </w:pPr>
      <w:r>
        <w:t>Phase 1–2: minimal profit focus; optional value-add subscriptions may exist, but the baseline ledger can remain free if that reinforces trust and retention.</w:t>
      </w:r>
    </w:p>
    <w:p w14:paraId="56DB9161" w14:textId="77777777" w:rsidR="00372DE3" w:rsidRDefault="00000000">
      <w:pPr>
        <w:pStyle w:val="ListBullet"/>
      </w:pPr>
      <w:r>
        <w:t>Labs: payments may be required to facilitate orders; margin is not the primary objective initially.</w:t>
      </w:r>
    </w:p>
    <w:p w14:paraId="40651F23" w14:textId="77777777" w:rsidR="00372DE3" w:rsidRDefault="00000000">
      <w:pPr>
        <w:pStyle w:val="ListBullet"/>
      </w:pPr>
      <w:r>
        <w:t>Phase 3: institutional monetization (clinics, hospitals, payers, partners) only under explicit consent, clear receipts, and user-aligned incentives.</w:t>
      </w:r>
    </w:p>
    <w:p w14:paraId="026866F2" w14:textId="77777777" w:rsidR="00372DE3" w:rsidRDefault="00000000">
      <w:pPr>
        <w:pStyle w:val="ListBullet"/>
      </w:pPr>
      <w:r>
        <w:t>Advertising/partner offers: only if clearly separated, user-aligned, and never based on selling sensitive data. If this cannot be done cleanly, do not do it.</w:t>
      </w:r>
    </w:p>
    <w:p w14:paraId="7A421499" w14:textId="77777777" w:rsidR="00372DE3" w:rsidRDefault="00372DE3"/>
    <w:p w14:paraId="541D24C0" w14:textId="77777777" w:rsidR="00372DE3" w:rsidRDefault="00000000">
      <w:pPr>
        <w:pStyle w:val="Heading1"/>
      </w:pPr>
      <w:r>
        <w:t>2045 Stress Test and Sequencing Logic</w:t>
      </w:r>
    </w:p>
    <w:p w14:paraId="7D17AB32" w14:textId="77777777" w:rsidR="00372DE3" w:rsidRDefault="00000000">
      <w:r>
        <w:t>Handoff 3’s stress test remains the strategic compass: a 20-year health ledger can remain a durable business even without winning a standards war; governance without a wedge ledger risks becoming replaceable middleware. The realistic path is sequencing: ledger as the compounding core; governance as the enforcement spine; broader governance expansion earned later.</w:t>
      </w:r>
    </w:p>
    <w:p w14:paraId="100F8804" w14:textId="77777777" w:rsidR="00372DE3" w:rsidRDefault="00372DE3"/>
    <w:p w14:paraId="3EE1B5D4" w14:textId="77777777" w:rsidR="00372DE3" w:rsidRDefault="00000000">
      <w:pPr>
        <w:pStyle w:val="Heading1"/>
      </w:pPr>
      <w:r>
        <w:t>Reality Checks and Risks (Short, Candid)</w:t>
      </w:r>
    </w:p>
    <w:p w14:paraId="74095E94" w14:textId="77777777" w:rsidR="00372DE3" w:rsidRDefault="00000000">
      <w:r>
        <w:t>Include this now, but keep it short. We will deepen it during Step 2 (overlay + drift detection) as we merge additional session docs.</w:t>
      </w:r>
    </w:p>
    <w:p w14:paraId="267E486E" w14:textId="77777777" w:rsidR="00372DE3" w:rsidRDefault="00000000">
      <w:pPr>
        <w:pStyle w:val="ListBullet"/>
      </w:pPr>
      <w:r>
        <w:t>Platform compression: OS vendors can bundle baseline insights and tighten third-party data access; defense is cross-platform normalization + user-owned continuity + trust brand.</w:t>
      </w:r>
    </w:p>
    <w:p w14:paraId="55AD76C1" w14:textId="77777777" w:rsidR="00372DE3" w:rsidRDefault="00000000">
      <w:pPr>
        <w:pStyle w:val="ListBullet"/>
      </w:pPr>
      <w:r>
        <w:t>Trust failure: security or privacy incidents will damage the brand disproportionately; minimize data exposure and adopt strong security hygiene from day one.</w:t>
      </w:r>
    </w:p>
    <w:p w14:paraId="7AB1BF4C" w14:textId="77777777" w:rsidR="00372DE3" w:rsidRDefault="00000000">
      <w:pPr>
        <w:pStyle w:val="ListBullet"/>
      </w:pPr>
      <w:r>
        <w:t>Governance enforceability limits: you can enforce scope/time at your boundary; you cannot fully guarantee what an AI lab retains internally without contractual + technical partner enforcement.</w:t>
      </w:r>
    </w:p>
    <w:p w14:paraId="1004CA1D" w14:textId="77777777" w:rsidR="00372DE3" w:rsidRDefault="00000000">
      <w:pPr>
        <w:pStyle w:val="ListBullet"/>
      </w:pPr>
      <w:r>
        <w:t>Data quality risk: messy wearables/labs can create false signals; poor alert quality erodes trust fast.</w:t>
      </w:r>
    </w:p>
    <w:p w14:paraId="22CA659F" w14:textId="77777777" w:rsidR="00372DE3" w:rsidRDefault="00000000">
      <w:pPr>
        <w:pStyle w:val="ListBullet"/>
      </w:pPr>
      <w:r>
        <w:t>Operational complexity: lab ordering introduces regulatory/ops surface area; keep it simple in v1 and avoid drowning engineering in logistics.</w:t>
      </w:r>
    </w:p>
    <w:p w14:paraId="49A9493F" w14:textId="77777777" w:rsidR="00372DE3" w:rsidRDefault="00000000">
      <w:pPr>
        <w:pStyle w:val="ListBullet"/>
      </w:pPr>
      <w:r>
        <w:t>Consent fatigue: too many prompts becomes unusable; defaults + TTL + receipts must reduce babysitting, not increase it.</w:t>
      </w:r>
    </w:p>
    <w:p w14:paraId="7E6BD079" w14:textId="77777777" w:rsidR="00372DE3" w:rsidRDefault="00000000">
      <w:pPr>
        <w:pStyle w:val="ListBullet"/>
      </w:pPr>
      <w:r>
        <w:t>Invisibility risk: if Safe AI Mode and baseline value are not obvious, you become background plumbing and get squeezed.</w:t>
      </w:r>
    </w:p>
    <w:p w14:paraId="0929A2F4" w14:textId="77777777" w:rsidR="00372DE3" w:rsidRDefault="00000000">
      <w:pPr>
        <w:pStyle w:val="ListBullet"/>
      </w:pPr>
      <w:r>
        <w:t>Regulatory uncertainty: health data handling has evolving requirements; engage counsel early and design for auditability.</w:t>
      </w:r>
    </w:p>
    <w:p w14:paraId="1D5D1AD2" w14:textId="77777777" w:rsidR="00372DE3" w:rsidRDefault="00372DE3"/>
    <w:p w14:paraId="17DABC43" w14:textId="77777777" w:rsidR="00372DE3" w:rsidRDefault="00000000">
      <w:pPr>
        <w:pStyle w:val="Heading1"/>
      </w:pPr>
      <w:r>
        <w:t>Next Steps</w:t>
      </w:r>
    </w:p>
    <w:p w14:paraId="3D75253D" w14:textId="77777777" w:rsidR="00372DE3" w:rsidRDefault="00000000">
      <w:pPr>
        <w:pStyle w:val="ListBullet"/>
      </w:pPr>
      <w:r>
        <w:t>Step 1 (this document): unify handoffs into a canonical brief used by the team and shared with prospective developers.</w:t>
      </w:r>
    </w:p>
    <w:p w14:paraId="52227943" w14:textId="77777777" w:rsidR="00372DE3" w:rsidRDefault="00000000">
      <w:pPr>
        <w:pStyle w:val="ListBullet"/>
      </w:pPr>
      <w:r>
        <w:t>Step 2: merge this brief with the last weeks’ session docs; identify inconsistencies, over-scope, and language drift; update the canon.</w:t>
      </w:r>
    </w:p>
    <w:p w14:paraId="0F92F2F5" w14:textId="77777777" w:rsidR="00372DE3" w:rsidRDefault="00000000">
      <w:pPr>
        <w:pStyle w:val="ListBullet"/>
      </w:pPr>
      <w:r>
        <w:t>Step 3: produce the 6-month execution architecture and a tightened v1 spec derived from the canon (not the other way around).</w:t>
      </w:r>
    </w:p>
    <w:p w14:paraId="137F5EE6" w14:textId="77777777" w:rsidR="00372DE3" w:rsidRDefault="00372DE3"/>
    <w:p w14:paraId="18685262" w14:textId="77777777" w:rsidR="00372DE3" w:rsidRDefault="00000000">
      <w:pPr>
        <w:pStyle w:val="Heading2"/>
      </w:pPr>
      <w:r>
        <w:t>Appendix: Questions to resolve during Step 2 overlay</w:t>
      </w:r>
    </w:p>
    <w:p w14:paraId="752D2F3F" w14:textId="77777777" w:rsidR="00372DE3" w:rsidRDefault="00000000">
      <w:pPr>
        <w:pStyle w:val="ListBullet"/>
      </w:pPr>
      <w:r>
        <w:t>Exact initial wearable vendors and lab partners to support (choose for velocity and reliability).</w:t>
      </w:r>
    </w:p>
    <w:p w14:paraId="617A862F" w14:textId="77777777" w:rsidR="00372DE3" w:rsidRDefault="00000000">
      <w:pPr>
        <w:pStyle w:val="ListBullet"/>
      </w:pPr>
      <w:r>
        <w:t>Minimum viable baseline engine output (what must be true on day one to feel “personal”).</w:t>
      </w:r>
    </w:p>
    <w:p w14:paraId="347AB47B" w14:textId="77777777" w:rsidR="00372DE3" w:rsidRDefault="00000000">
      <w:pPr>
        <w:pStyle w:val="ListBullet"/>
      </w:pPr>
      <w:r>
        <w:t>Receipt schema: what is user-readable vs machine-log; integrity mechanism; export format.</w:t>
      </w:r>
    </w:p>
    <w:p w14:paraId="626AB2BD" w14:textId="77777777" w:rsidR="00372DE3" w:rsidRDefault="00000000">
      <w:pPr>
        <w:pStyle w:val="ListBullet"/>
      </w:pPr>
      <w:r>
        <w:t>Safe AI Mode constraints: what is truly enforced technically vs declared/contractually enforced.</w:t>
      </w:r>
    </w:p>
    <w:p w14:paraId="3257F79E" w14:textId="77777777" w:rsidR="00372DE3" w:rsidRDefault="00000000">
      <w:pPr>
        <w:pStyle w:val="ListBullet"/>
      </w:pPr>
      <w:r>
        <w:t>Data model: object types, provenance, and normalization rules (enough to avoid rework).</w:t>
      </w:r>
    </w:p>
    <w:p w14:paraId="73C34502" w14:textId="77777777" w:rsidR="00372DE3" w:rsidRDefault="00000000">
      <w:pPr>
        <w:pStyle w:val="ListBullet"/>
      </w:pPr>
      <w:r>
        <w:t>Clear positioning language: “context layer” vs “vault” vs “ledger” in external materials.</w:t>
      </w:r>
    </w:p>
    <w:sectPr w:rsidR="00372DE3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081529">
    <w:abstractNumId w:val="8"/>
  </w:num>
  <w:num w:numId="2" w16cid:durableId="2131702792">
    <w:abstractNumId w:val="6"/>
  </w:num>
  <w:num w:numId="3" w16cid:durableId="1114910167">
    <w:abstractNumId w:val="5"/>
  </w:num>
  <w:num w:numId="4" w16cid:durableId="88359924">
    <w:abstractNumId w:val="4"/>
  </w:num>
  <w:num w:numId="5" w16cid:durableId="910045290">
    <w:abstractNumId w:val="7"/>
  </w:num>
  <w:num w:numId="6" w16cid:durableId="1417704136">
    <w:abstractNumId w:val="3"/>
  </w:num>
  <w:num w:numId="7" w16cid:durableId="901408809">
    <w:abstractNumId w:val="2"/>
  </w:num>
  <w:num w:numId="8" w16cid:durableId="1979215243">
    <w:abstractNumId w:val="1"/>
  </w:num>
  <w:num w:numId="9" w16cid:durableId="204016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DE3"/>
    <w:rsid w:val="00566ECC"/>
    <w:rsid w:val="009203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97831"/>
  <w14:defaultImageDpi w14:val="300"/>
  <w15:docId w15:val="{F50B0DD4-15C8-483A-9B81-38EBCED3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1730</Words>
  <Characters>11215</Characters>
  <Application>Microsoft Office Word</Application>
  <DocSecurity>0</DocSecurity>
  <Lines>219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Kowalski</cp:lastModifiedBy>
  <cp:revision>2</cp:revision>
  <dcterms:created xsi:type="dcterms:W3CDTF">2026-02-19T21:31:00Z</dcterms:created>
  <dcterms:modified xsi:type="dcterms:W3CDTF">2026-02-19T21:31:00Z</dcterms:modified>
  <cp:category/>
</cp:coreProperties>
</file>