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7E89" w14:textId="77777777" w:rsidR="00DB5FEC" w:rsidRDefault="00000000">
      <w:pPr>
        <w:pStyle w:val="Title"/>
        <w:jc w:val="center"/>
      </w:pPr>
      <w:r>
        <w:rPr>
          <w:color w:val="1F4E79"/>
        </w:rPr>
        <w:t>Consentext AI Gateway Concept Document</w:t>
      </w:r>
    </w:p>
    <w:p w14:paraId="113323F1" w14:textId="77777777" w:rsidR="00DB5FEC" w:rsidRDefault="00000000">
      <w:pPr>
        <w:jc w:val="center"/>
      </w:pPr>
      <w:r>
        <w:rPr>
          <w:i/>
        </w:rPr>
        <w:t>Founder-aligned explanation for Phase 3.75 architecture discussion</w:t>
      </w:r>
    </w:p>
    <w:p w14:paraId="71F683AE" w14:textId="77777777" w:rsidR="00DB5FEC" w:rsidRDefault="00000000">
      <w:pPr>
        <w:pStyle w:val="Heading1"/>
      </w:pPr>
      <w:r>
        <w:t>Why the AI Gateway Exists</w:t>
      </w:r>
    </w:p>
    <w:p w14:paraId="19268DB8" w14:textId="77777777" w:rsidR="00DB5FEC" w:rsidRDefault="00000000">
      <w:r>
        <w:t>The AI Gateway exists because health data is too sensitive for a simple “AI on / AI off” product model. A consumer health platform cannot reasonably ask users to choose only between never using AI and pasting sensitive health information directly into outside AI systems.</w:t>
      </w:r>
    </w:p>
    <w:p w14:paraId="771787B5" w14:textId="77777777" w:rsidR="00DB5FEC" w:rsidRDefault="00000000">
      <w:r>
        <w:t>Consentext introduces a governed interaction layer between health context and AI systems. That interaction layer is what the project calls the AI Gateway.</w:t>
      </w:r>
    </w:p>
    <w:p w14:paraId="5CBE2FFA" w14:textId="77777777" w:rsidR="00DB5FEC" w:rsidRDefault="00000000">
      <w:pPr>
        <w:pStyle w:val="Heading1"/>
      </w:pPr>
      <w:r>
        <w:t>What the AI Gateway Is</w:t>
      </w:r>
    </w:p>
    <w:p w14:paraId="0743622A" w14:textId="77777777" w:rsidR="00DB5FEC" w:rsidRDefault="00000000">
      <w:r>
        <w:t>The AI Gateway is not simply a chat feature and not just an API router. It is a control system inside Consentext that determines how a user’s request is classified, which lane of interaction applies, what data may be used, whether anything may leave Consentext, and how the interaction must be logged.</w:t>
      </w:r>
    </w:p>
    <w:p w14:paraId="3F199EA7" w14:textId="77777777" w:rsidR="00DB5FEC" w:rsidRDefault="00000000">
      <w:r>
        <w:t>In plain language: the AI Gateway determines how a user request interacts with AI and what health context is allowed to be used or shared.</w:t>
      </w:r>
    </w:p>
    <w:p w14:paraId="54E84BC0" w14:textId="77777777" w:rsidR="00DB5FEC" w:rsidRDefault="00000000">
      <w:pPr>
        <w:pStyle w:val="Heading1"/>
      </w:pPr>
      <w:r>
        <w:t>What the AI Gateway Is Not</w:t>
      </w:r>
    </w:p>
    <w:p w14:paraId="6EAEF1D8" w14:textId="77777777" w:rsidR="00DB5FEC" w:rsidRDefault="00000000">
      <w:r>
        <w:t>At this stage, the AI Gateway should not be thought of as a giant orchestration brain, a replacement for model labs, or a prompt-optimization engine. Consentext is not trying to replace OpenAI, Anthropic, Google, or other model providers. Consentext is trying to become the trusted consumer-controlled layer that governs how those systems may be used with health context.</w:t>
      </w:r>
    </w:p>
    <w:p w14:paraId="4880D74A" w14:textId="77777777" w:rsidR="00DB5FEC" w:rsidRDefault="00000000">
      <w:r>
        <w:rPr>
          <w:noProof/>
        </w:rPr>
        <w:drawing>
          <wp:inline distT="0" distB="0" distL="0" distR="0" wp14:anchorId="71923707" wp14:editId="11560AAC">
            <wp:extent cx="6217920" cy="23243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gateway_lan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2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1A69" w14:textId="77777777" w:rsidR="00DB5FEC" w:rsidRDefault="00000000">
      <w:pPr>
        <w:jc w:val="center"/>
      </w:pPr>
      <w:r>
        <w:rPr>
          <w:i/>
          <w:sz w:val="18"/>
        </w:rPr>
        <w:t>Figure 1. AI Gateway exposure lanes used to balance Privacy, Capability, and Control.</w:t>
      </w:r>
    </w:p>
    <w:p w14:paraId="7791F087" w14:textId="77777777" w:rsidR="00DB5FEC" w:rsidRDefault="00000000">
      <w:pPr>
        <w:pStyle w:val="Heading1"/>
      </w:pPr>
      <w:r>
        <w:t>The Exposure Lanes</w:t>
      </w:r>
    </w:p>
    <w:p w14:paraId="34C568B3" w14:textId="77777777" w:rsidR="00DB5FEC" w:rsidRDefault="00000000">
      <w:r>
        <w:t>The lane model is useful because not every request deserves the same exposure level.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456"/>
        <w:gridCol w:w="2736"/>
        <w:gridCol w:w="2016"/>
      </w:tblGrid>
      <w:tr w:rsidR="00DB5FEC" w14:paraId="7FC07706" w14:textId="77777777">
        <w:trPr>
          <w:tblHeader/>
          <w:jc w:val="center"/>
        </w:trPr>
        <w:tc>
          <w:tcPr>
            <w:tcW w:w="15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E6609" w14:textId="77777777" w:rsidR="00DB5FEC" w:rsidRDefault="00000000">
            <w:r>
              <w:rPr>
                <w:b/>
                <w:sz w:val="19"/>
              </w:rPr>
              <w:t>Lane</w:t>
            </w:r>
          </w:p>
        </w:tc>
        <w:tc>
          <w:tcPr>
            <w:tcW w:w="345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D13EE" w14:textId="77777777" w:rsidR="00DB5FEC" w:rsidRDefault="00000000">
            <w:r>
              <w:rPr>
                <w:b/>
                <w:sz w:val="19"/>
              </w:rPr>
              <w:t>Working Meaning</w:t>
            </w:r>
          </w:p>
        </w:tc>
        <w:tc>
          <w:tcPr>
            <w:tcW w:w="27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24ED3" w14:textId="77777777" w:rsidR="00DB5FEC" w:rsidRDefault="00000000">
            <w:r>
              <w:rPr>
                <w:b/>
                <w:sz w:val="19"/>
              </w:rPr>
              <w:t>What Leaves Consentext</w:t>
            </w:r>
          </w:p>
        </w:tc>
        <w:tc>
          <w:tcPr>
            <w:tcW w:w="20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6EBCA" w14:textId="77777777" w:rsidR="00DB5FEC" w:rsidRDefault="00000000">
            <w:r>
              <w:rPr>
                <w:b/>
                <w:sz w:val="19"/>
              </w:rPr>
              <w:t>Strategic Role</w:t>
            </w:r>
          </w:p>
        </w:tc>
      </w:tr>
      <w:tr w:rsidR="00DB5FEC" w14:paraId="2340352A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32ECC" w14:textId="77777777" w:rsidR="00DB5FEC" w:rsidRDefault="00000000">
            <w:r>
              <w:rPr>
                <w:sz w:val="19"/>
              </w:rPr>
              <w:t>Deterministic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70746" w14:textId="77777777" w:rsidR="00DB5FEC" w:rsidRDefault="00000000">
            <w:r>
              <w:rPr>
                <w:sz w:val="19"/>
              </w:rPr>
              <w:t>No LLM; calculations, retrieval, thresholds, and templated outputs</w:t>
            </w:r>
          </w:p>
        </w:tc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EE6FE" w14:textId="77777777" w:rsidR="00DB5FEC" w:rsidRDefault="00000000">
            <w:r>
              <w:rPr>
                <w:sz w:val="19"/>
              </w:rPr>
              <w:t>Nothing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05A96" w14:textId="77777777" w:rsidR="00DB5FEC" w:rsidRDefault="00000000">
            <w:r>
              <w:rPr>
                <w:sz w:val="19"/>
              </w:rPr>
              <w:t>Trust anchor</w:t>
            </w:r>
          </w:p>
        </w:tc>
      </w:tr>
      <w:tr w:rsidR="00DB5FEC" w14:paraId="05446A02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44BB8" w14:textId="77777777" w:rsidR="00DB5FEC" w:rsidRDefault="00000000">
            <w:r>
              <w:rPr>
                <w:sz w:val="19"/>
              </w:rPr>
              <w:t>Private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9CC46" w14:textId="77777777" w:rsidR="00DB5FEC" w:rsidRDefault="00000000">
            <w:r>
              <w:rPr>
                <w:sz w:val="19"/>
              </w:rPr>
              <w:t>Protected AI lane using Consentext-controlled inference</w:t>
            </w:r>
          </w:p>
        </w:tc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E9224" w14:textId="77777777" w:rsidR="00DB5FEC" w:rsidRDefault="00000000">
            <w:r>
              <w:rPr>
                <w:sz w:val="19"/>
              </w:rPr>
              <w:t>Sensitive record data should stay internal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93A75" w14:textId="77777777" w:rsidR="00DB5FEC" w:rsidRDefault="00000000">
            <w:r>
              <w:rPr>
                <w:sz w:val="19"/>
              </w:rPr>
              <w:t>Highest-privacy AI lane</w:t>
            </w:r>
          </w:p>
        </w:tc>
      </w:tr>
      <w:tr w:rsidR="00DB5FEC" w14:paraId="67DC3962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3777D" w14:textId="77777777" w:rsidR="00DB5FEC" w:rsidRDefault="00000000">
            <w:r>
              <w:rPr>
                <w:sz w:val="19"/>
              </w:rPr>
              <w:t>Private+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BC90F" w14:textId="77777777" w:rsidR="00DB5FEC" w:rsidRDefault="00000000">
            <w:r>
              <w:rPr>
                <w:sz w:val="19"/>
              </w:rPr>
              <w:t>Reduced or de-identified context may be used with external AI</w:t>
            </w:r>
          </w:p>
        </w:tc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D0557" w14:textId="77777777" w:rsidR="00DB5FEC" w:rsidRDefault="00000000">
            <w:r>
              <w:rPr>
                <w:sz w:val="19"/>
              </w:rPr>
              <w:t>Only minimum-necessary reduced context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2999E" w14:textId="77777777" w:rsidR="00DB5FEC" w:rsidRDefault="00000000">
            <w:r>
              <w:rPr>
                <w:sz w:val="19"/>
              </w:rPr>
              <w:t>Adoption bridge</w:t>
            </w:r>
          </w:p>
        </w:tc>
      </w:tr>
      <w:tr w:rsidR="00DB5FEC" w14:paraId="5AB89015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24F87" w14:textId="77777777" w:rsidR="00DB5FEC" w:rsidRDefault="00000000">
            <w:r>
              <w:rPr>
                <w:sz w:val="19"/>
              </w:rPr>
              <w:t>Max Intelligence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1A93D" w14:textId="77777777" w:rsidR="00DB5FEC" w:rsidRDefault="00000000">
            <w:r>
              <w:rPr>
                <w:sz w:val="19"/>
              </w:rPr>
              <w:t>Broader external AI interaction under governance rules</w:t>
            </w:r>
          </w:p>
        </w:tc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64FAA" w14:textId="77777777" w:rsidR="00DB5FEC" w:rsidRDefault="00000000">
            <w:r>
              <w:rPr>
                <w:sz w:val="19"/>
              </w:rPr>
              <w:t>More context may leave depending on user choice and rules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B2A09" w14:textId="77777777" w:rsidR="00DB5FEC" w:rsidRDefault="00000000">
            <w:r>
              <w:rPr>
                <w:sz w:val="19"/>
              </w:rPr>
              <w:t>Consumer freedom while keeping Consentext in front of the interaction</w:t>
            </w:r>
          </w:p>
        </w:tc>
      </w:tr>
      <w:tr w:rsidR="00DB5FEC" w14:paraId="3824B165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C565C" w14:textId="77777777" w:rsidR="00DB5FEC" w:rsidRDefault="00000000">
            <w:r>
              <w:rPr>
                <w:sz w:val="19"/>
              </w:rPr>
              <w:t>Off-Board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9F45E" w14:textId="77777777" w:rsidR="00DB5FEC" w:rsidRDefault="00000000">
            <w:r>
              <w:rPr>
                <w:sz w:val="19"/>
              </w:rPr>
              <w:t>User bypasses Consentext and goes directly to outside AI</w:t>
            </w:r>
          </w:p>
        </w:tc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09830" w14:textId="77777777" w:rsidR="00DB5FEC" w:rsidRDefault="00000000">
            <w:r>
              <w:rPr>
                <w:sz w:val="19"/>
              </w:rPr>
              <w:t>Potentially anything the user chooses to share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B1B58" w14:textId="77777777" w:rsidR="00DB5FEC" w:rsidRDefault="00000000">
            <w:r>
              <w:rPr>
                <w:sz w:val="19"/>
              </w:rPr>
              <w:t>Outside Consentext protections</w:t>
            </w:r>
          </w:p>
        </w:tc>
      </w:tr>
    </w:tbl>
    <w:p w14:paraId="72B652E5" w14:textId="77777777" w:rsidR="00DB5FEC" w:rsidRDefault="00DB5FEC"/>
    <w:p w14:paraId="579707E9" w14:textId="77777777" w:rsidR="00DB5FEC" w:rsidRDefault="00000000">
      <w:pPr>
        <w:pStyle w:val="Heading1"/>
      </w:pPr>
      <w:r>
        <w:t>Gateway Decision Flow</w:t>
      </w:r>
    </w:p>
    <w:p w14:paraId="58176510" w14:textId="77777777" w:rsidR="00DB5FEC" w:rsidRDefault="00000000">
      <w:r>
        <w:t>A simplified conceptual flow is: user submits request → gateway identifies task type → consent and trust rules are applied → lane is selected → task executes → response is returned → audit record is created.</w:t>
      </w:r>
    </w:p>
    <w:p w14:paraId="148CF47A" w14:textId="77777777" w:rsidR="00DB5FEC" w:rsidRDefault="00000000">
      <w:r>
        <w:t>This framing matters because it shows the gateway as a control point, not merely a feature. The gateway governs how AI-related features are allowed to behave.</w:t>
      </w:r>
    </w:p>
    <w:p w14:paraId="7E8BA1BE" w14:textId="77777777" w:rsidR="00DB5FEC" w:rsidRDefault="00000000">
      <w:pPr>
        <w:pStyle w:val="Heading1"/>
      </w:pPr>
      <w:r>
        <w:t>Placement Relative to the Trust Boundary</w:t>
      </w:r>
    </w:p>
    <w:p w14:paraId="4DC8E36B" w14:textId="77777777" w:rsidR="00DB5FEC" w:rsidRDefault="00000000">
      <w:r>
        <w:t>The AI Gateway sits inside the Consentext platform and inside the governance / control plane. It is not external to the trust boundary. Rather, it is a governed checkpoint that decides whether any approved outbound transmission may occur.</w:t>
      </w:r>
    </w:p>
    <w:p w14:paraId="2EC96134" w14:textId="77777777" w:rsidR="00DB5FEC" w:rsidRDefault="00000000">
      <w:r>
        <w:t>This is why the gateway belongs inside the system architecture, not only at the edge of an outbound arrow.</w:t>
      </w:r>
    </w:p>
    <w:p w14:paraId="7EA2DFDA" w14:textId="77777777" w:rsidR="00DB5FEC" w:rsidRDefault="00000000">
      <w:pPr>
        <w:pStyle w:val="Heading1"/>
      </w:pPr>
      <w:r>
        <w:t>Longer-Term Significance</w:t>
      </w:r>
    </w:p>
    <w:p w14:paraId="4972B7D7" w14:textId="77777777" w:rsidR="00DB5FEC" w:rsidRDefault="00000000">
      <w:r>
        <w:t>Over time, the gateway may become even more important as AI systems become more agentic. A safer future pattern is Agent → Gateway → Vault, not Agent → Vault directly. That means the gateway may eventually function as a permission boundary between humans, agents, models, and sensitive health data.</w:t>
      </w:r>
    </w:p>
    <w:p w14:paraId="51038081" w14:textId="77777777" w:rsidR="00DB5FEC" w:rsidRDefault="00000000">
      <w:pPr>
        <w:pStyle w:val="Heading1"/>
      </w:pPr>
      <w:r>
        <w:t>Working Definition to Carry Forward</w:t>
      </w:r>
    </w:p>
    <w:p w14:paraId="0E65C70F" w14:textId="77777777" w:rsidR="00DB5FEC" w:rsidRDefault="00000000">
      <w:r>
        <w:t>Consentext AI Gateway is the governed interaction layer that determines how a user’s health context can be used with AI, routes each request through the appropriate privacy-capability lane, and preserves control through minimization, boundaries, approvals, and auditability.</w:t>
      </w:r>
    </w:p>
    <w:sectPr w:rsidR="00DB5FE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338418">
    <w:abstractNumId w:val="8"/>
  </w:num>
  <w:num w:numId="2" w16cid:durableId="341200014">
    <w:abstractNumId w:val="6"/>
  </w:num>
  <w:num w:numId="3" w16cid:durableId="1338728190">
    <w:abstractNumId w:val="5"/>
  </w:num>
  <w:num w:numId="4" w16cid:durableId="355231393">
    <w:abstractNumId w:val="4"/>
  </w:num>
  <w:num w:numId="5" w16cid:durableId="1781097840">
    <w:abstractNumId w:val="7"/>
  </w:num>
  <w:num w:numId="6" w16cid:durableId="1758018608">
    <w:abstractNumId w:val="3"/>
  </w:num>
  <w:num w:numId="7" w16cid:durableId="1129593050">
    <w:abstractNumId w:val="2"/>
  </w:num>
  <w:num w:numId="8" w16cid:durableId="383144630">
    <w:abstractNumId w:val="1"/>
  </w:num>
  <w:num w:numId="9" w16cid:durableId="1009529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20EA"/>
    <w:rsid w:val="00753302"/>
    <w:rsid w:val="00AA1D8D"/>
    <w:rsid w:val="00B47730"/>
    <w:rsid w:val="00CB0664"/>
    <w:rsid w:val="00DB5F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7EA6E"/>
  <w14:defaultImageDpi w14:val="300"/>
  <w15:docId w15:val="{00680C33-CB06-4FB5-ABC3-98942E24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Gary Kowalski</cp:lastModifiedBy>
  <cp:revision>2</cp:revision>
  <dcterms:created xsi:type="dcterms:W3CDTF">2026-03-16T19:11:00Z</dcterms:created>
  <dcterms:modified xsi:type="dcterms:W3CDTF">2026-03-16T19:11:00Z</dcterms:modified>
  <cp:category/>
</cp:coreProperties>
</file>