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C6CC" w14:textId="77777777" w:rsidR="00EF3247" w:rsidRDefault="00000000">
      <w:pPr>
        <w:pStyle w:val="Title"/>
        <w:jc w:val="center"/>
      </w:pPr>
      <w:r>
        <w:rPr>
          <w:color w:val="1F4E79"/>
        </w:rPr>
        <w:t>Consentext Current System Workstreams Clarification</w:t>
      </w:r>
    </w:p>
    <w:p w14:paraId="058D329D" w14:textId="77777777" w:rsidR="00EF3247" w:rsidRDefault="00000000">
      <w:pPr>
        <w:jc w:val="center"/>
      </w:pPr>
      <w:r>
        <w:rPr>
          <w:i/>
        </w:rPr>
        <w:t>Context note to accompany Phase 3.75 discussions</w:t>
      </w:r>
    </w:p>
    <w:p w14:paraId="14DB74D9" w14:textId="77777777" w:rsidR="00EF3247" w:rsidRDefault="00000000">
      <w:pPr>
        <w:pStyle w:val="Heading1"/>
      </w:pPr>
      <w:r>
        <w:t>Purpose of This Document</w:t>
      </w:r>
    </w:p>
    <w:p w14:paraId="421E6B12" w14:textId="77777777" w:rsidR="00EF3247" w:rsidRDefault="00000000">
      <w:r>
        <w:t>This note clarifies the current development workstreams within Consentext so the architecture work being discussed for Phase 3.75 can be understood in context. It is not a full technical specification and is not intended to force architectural evaluation of every existing component today.</w:t>
      </w:r>
    </w:p>
    <w:p w14:paraId="23FE5AE5" w14:textId="77777777" w:rsidR="00EF3247" w:rsidRDefault="00000000">
      <w:pPr>
        <w:pStyle w:val="Heading1"/>
      </w:pPr>
      <w:r>
        <w:t>Existing and In-Progress Workstreams</w:t>
      </w:r>
    </w:p>
    <w:p w14:paraId="6FF1D65C" w14:textId="77777777" w:rsidR="00EF3247" w:rsidRDefault="00000000">
      <w:r>
        <w:t>Several development tracks have been progressing prior to the current Phase 3.75 discussions. These efforts primarily focus on the data environment and user-facing experience layer.</w:t>
      </w:r>
    </w:p>
    <w:p w14:paraId="2BB97917" w14:textId="77777777" w:rsidR="00EF3247" w:rsidRDefault="00000000">
      <w:pPr>
        <w:pStyle w:val="ListBullet"/>
      </w:pPr>
      <w:r>
        <w:t>Health dashboard / portal exploration similar in spirit to systems such as InsideTracker and Function Health</w:t>
      </w:r>
    </w:p>
    <w:p w14:paraId="05672FF7" w14:textId="77777777" w:rsidR="00EF3247" w:rsidRDefault="00000000">
      <w:pPr>
        <w:pStyle w:val="ListBullet"/>
      </w:pPr>
      <w:r>
        <w:t>Wearable ingestion and synchronization</w:t>
      </w:r>
    </w:p>
    <w:p w14:paraId="62A7CA94" w14:textId="77777777" w:rsidR="00EF3247" w:rsidRDefault="00000000">
      <w:pPr>
        <w:pStyle w:val="ListBullet"/>
      </w:pPr>
      <w:r>
        <w:t>Lab schema exploration and biomarker organization</w:t>
      </w:r>
    </w:p>
    <w:p w14:paraId="5A138447" w14:textId="77777777" w:rsidR="00EF3247" w:rsidRDefault="00000000">
      <w:pPr>
        <w:pStyle w:val="ListBullet"/>
      </w:pPr>
      <w:r>
        <w:t>Health record views, summaries, and trend visualization</w:t>
      </w:r>
    </w:p>
    <w:p w14:paraId="39C682F1" w14:textId="77777777" w:rsidR="00EF3247" w:rsidRDefault="00000000">
      <w:pPr>
        <w:pStyle w:val="Heading1"/>
      </w:pPr>
      <w:r>
        <w:t>Why This Distinction Matters</w:t>
      </w:r>
    </w:p>
    <w:p w14:paraId="0F9A27A7" w14:textId="77777777" w:rsidR="00EF3247" w:rsidRDefault="00000000">
      <w:r>
        <w:t>Phase 3.75 is aimed at the governance architecture, not at judging every earlier implementation before the governance layer exists. The purpose is to define the control plane that will eventually govern how data from the data plane may be accessed, shared, routed, de-identified, or sent to external systems.</w:t>
      </w:r>
    </w:p>
    <w:p w14:paraId="27EFEBD0" w14:textId="77777777" w:rsidR="00EF3247" w:rsidRDefault="00000000">
      <w:r>
        <w:t>That means earlier work is neither automatically dismissed nor automatically adopted. It can be evaluated later against the governance architecture once that architecture is defined.</w:t>
      </w:r>
    </w:p>
    <w:tbl>
      <w:tblPr>
        <w:tblStyle w:val="TableGrid"/>
        <w:tblW w:w="0" w:type="auto"/>
        <w:jc w:val="center"/>
        <w:tblLook w:val="04A0" w:firstRow="1" w:lastRow="0" w:firstColumn="1" w:lastColumn="0" w:noHBand="0" w:noVBand="1"/>
      </w:tblPr>
      <w:tblGrid>
        <w:gridCol w:w="2160"/>
        <w:gridCol w:w="4608"/>
        <w:gridCol w:w="3024"/>
      </w:tblGrid>
      <w:tr w:rsidR="00EF3247" w14:paraId="3D6B24BF" w14:textId="77777777">
        <w:trPr>
          <w:tblHeader/>
          <w:jc w:val="center"/>
        </w:trPr>
        <w:tc>
          <w:tcPr>
            <w:tcW w:w="2160" w:type="dxa"/>
            <w:shd w:val="clear" w:color="auto" w:fill="D9EAF7"/>
            <w:tcMar>
              <w:top w:w="80" w:type="dxa"/>
              <w:left w:w="80" w:type="dxa"/>
              <w:bottom w:w="80" w:type="dxa"/>
              <w:right w:w="80" w:type="dxa"/>
            </w:tcMar>
            <w:vAlign w:val="center"/>
          </w:tcPr>
          <w:p w14:paraId="3A36629B" w14:textId="77777777" w:rsidR="00EF3247" w:rsidRDefault="00000000">
            <w:r>
              <w:rPr>
                <w:b/>
                <w:sz w:val="19"/>
              </w:rPr>
              <w:t>Layer</w:t>
            </w:r>
          </w:p>
        </w:tc>
        <w:tc>
          <w:tcPr>
            <w:tcW w:w="4608" w:type="dxa"/>
            <w:shd w:val="clear" w:color="auto" w:fill="D9EAF7"/>
            <w:tcMar>
              <w:top w:w="80" w:type="dxa"/>
              <w:left w:w="80" w:type="dxa"/>
              <w:bottom w:w="80" w:type="dxa"/>
              <w:right w:w="80" w:type="dxa"/>
            </w:tcMar>
            <w:vAlign w:val="center"/>
          </w:tcPr>
          <w:p w14:paraId="53719831" w14:textId="77777777" w:rsidR="00EF3247" w:rsidRDefault="00000000">
            <w:r>
              <w:rPr>
                <w:b/>
                <w:sz w:val="19"/>
              </w:rPr>
              <w:t>Typical Components</w:t>
            </w:r>
          </w:p>
        </w:tc>
        <w:tc>
          <w:tcPr>
            <w:tcW w:w="3024" w:type="dxa"/>
            <w:shd w:val="clear" w:color="auto" w:fill="D9EAF7"/>
            <w:tcMar>
              <w:top w:w="80" w:type="dxa"/>
              <w:left w:w="80" w:type="dxa"/>
              <w:bottom w:w="80" w:type="dxa"/>
              <w:right w:w="80" w:type="dxa"/>
            </w:tcMar>
            <w:vAlign w:val="center"/>
          </w:tcPr>
          <w:p w14:paraId="47E87F5E" w14:textId="77777777" w:rsidR="00EF3247" w:rsidRDefault="00000000">
            <w:r>
              <w:rPr>
                <w:b/>
                <w:sz w:val="19"/>
              </w:rPr>
              <w:t>Current Relevance</w:t>
            </w:r>
          </w:p>
        </w:tc>
      </w:tr>
      <w:tr w:rsidR="00EF3247" w14:paraId="1269FCB4" w14:textId="77777777">
        <w:trPr>
          <w:jc w:val="center"/>
        </w:trPr>
        <w:tc>
          <w:tcPr>
            <w:tcW w:w="2160" w:type="dxa"/>
            <w:tcMar>
              <w:top w:w="80" w:type="dxa"/>
              <w:left w:w="80" w:type="dxa"/>
              <w:bottom w:w="80" w:type="dxa"/>
              <w:right w:w="80" w:type="dxa"/>
            </w:tcMar>
            <w:vAlign w:val="center"/>
          </w:tcPr>
          <w:p w14:paraId="526D86EE" w14:textId="77777777" w:rsidR="00EF3247" w:rsidRDefault="00000000">
            <w:r>
              <w:rPr>
                <w:sz w:val="19"/>
              </w:rPr>
              <w:t>Data / Experience Layer</w:t>
            </w:r>
          </w:p>
        </w:tc>
        <w:tc>
          <w:tcPr>
            <w:tcW w:w="4608" w:type="dxa"/>
            <w:tcMar>
              <w:top w:w="80" w:type="dxa"/>
              <w:left w:w="80" w:type="dxa"/>
              <w:bottom w:w="80" w:type="dxa"/>
              <w:right w:w="80" w:type="dxa"/>
            </w:tcMar>
            <w:vAlign w:val="center"/>
          </w:tcPr>
          <w:p w14:paraId="4EDE469B" w14:textId="77777777" w:rsidR="00EF3247" w:rsidRDefault="00000000">
            <w:r>
              <w:rPr>
                <w:sz w:val="19"/>
              </w:rPr>
              <w:t>Vault storage, dashboard, wearable ingestion, lab views, trend visualization</w:t>
            </w:r>
          </w:p>
        </w:tc>
        <w:tc>
          <w:tcPr>
            <w:tcW w:w="3024" w:type="dxa"/>
            <w:tcMar>
              <w:top w:w="80" w:type="dxa"/>
              <w:left w:w="80" w:type="dxa"/>
              <w:bottom w:w="80" w:type="dxa"/>
              <w:right w:w="80" w:type="dxa"/>
            </w:tcMar>
            <w:vAlign w:val="center"/>
          </w:tcPr>
          <w:p w14:paraId="40478299" w14:textId="77777777" w:rsidR="00EF3247" w:rsidRDefault="00000000">
            <w:r>
              <w:rPr>
                <w:sz w:val="19"/>
              </w:rPr>
              <w:t>Existing or exploratory workstreams; not the primary architecture target of Phase 3.75</w:t>
            </w:r>
          </w:p>
        </w:tc>
      </w:tr>
      <w:tr w:rsidR="00EF3247" w14:paraId="315CEBA0" w14:textId="77777777">
        <w:trPr>
          <w:jc w:val="center"/>
        </w:trPr>
        <w:tc>
          <w:tcPr>
            <w:tcW w:w="2160" w:type="dxa"/>
            <w:tcMar>
              <w:top w:w="80" w:type="dxa"/>
              <w:left w:w="80" w:type="dxa"/>
              <w:bottom w:w="80" w:type="dxa"/>
              <w:right w:w="80" w:type="dxa"/>
            </w:tcMar>
            <w:vAlign w:val="center"/>
          </w:tcPr>
          <w:p w14:paraId="0710460F" w14:textId="77777777" w:rsidR="00EF3247" w:rsidRDefault="00000000">
            <w:r>
              <w:rPr>
                <w:sz w:val="19"/>
              </w:rPr>
              <w:t>Governance Architecture Layer</w:t>
            </w:r>
          </w:p>
        </w:tc>
        <w:tc>
          <w:tcPr>
            <w:tcW w:w="4608" w:type="dxa"/>
            <w:tcMar>
              <w:top w:w="80" w:type="dxa"/>
              <w:left w:w="80" w:type="dxa"/>
              <w:bottom w:w="80" w:type="dxa"/>
              <w:right w:w="80" w:type="dxa"/>
            </w:tcMar>
            <w:vAlign w:val="center"/>
          </w:tcPr>
          <w:p w14:paraId="165C5790" w14:textId="77777777" w:rsidR="00EF3247" w:rsidRDefault="00000000">
            <w:r>
              <w:rPr>
                <w:sz w:val="19"/>
              </w:rPr>
              <w:t>Trust Boundary, Consent Engine, Policy Evaluation, De-identification, AI Gateway, Audit</w:t>
            </w:r>
          </w:p>
        </w:tc>
        <w:tc>
          <w:tcPr>
            <w:tcW w:w="3024" w:type="dxa"/>
            <w:tcMar>
              <w:top w:w="80" w:type="dxa"/>
              <w:left w:w="80" w:type="dxa"/>
              <w:bottom w:w="80" w:type="dxa"/>
              <w:right w:w="80" w:type="dxa"/>
            </w:tcMar>
            <w:vAlign w:val="center"/>
          </w:tcPr>
          <w:p w14:paraId="6F97E5EF" w14:textId="77777777" w:rsidR="00EF3247" w:rsidRDefault="00000000">
            <w:r>
              <w:rPr>
                <w:sz w:val="19"/>
              </w:rPr>
              <w:t>Primary focus of Phase 3.75</w:t>
            </w:r>
          </w:p>
        </w:tc>
      </w:tr>
      <w:tr w:rsidR="00EF3247" w14:paraId="07983C16" w14:textId="77777777">
        <w:trPr>
          <w:jc w:val="center"/>
        </w:trPr>
        <w:tc>
          <w:tcPr>
            <w:tcW w:w="2160" w:type="dxa"/>
            <w:tcMar>
              <w:top w:w="80" w:type="dxa"/>
              <w:left w:w="80" w:type="dxa"/>
              <w:bottom w:w="80" w:type="dxa"/>
              <w:right w:w="80" w:type="dxa"/>
            </w:tcMar>
            <w:vAlign w:val="center"/>
          </w:tcPr>
          <w:p w14:paraId="54C81EE2" w14:textId="77777777" w:rsidR="00EF3247" w:rsidRDefault="00000000">
            <w:r>
              <w:rPr>
                <w:sz w:val="19"/>
              </w:rPr>
              <w:t>Future Integration Layer</w:t>
            </w:r>
          </w:p>
        </w:tc>
        <w:tc>
          <w:tcPr>
            <w:tcW w:w="4608" w:type="dxa"/>
            <w:tcMar>
              <w:top w:w="80" w:type="dxa"/>
              <w:left w:w="80" w:type="dxa"/>
              <w:bottom w:w="80" w:type="dxa"/>
              <w:right w:w="80" w:type="dxa"/>
            </w:tcMar>
            <w:vAlign w:val="center"/>
          </w:tcPr>
          <w:p w14:paraId="1C55A210" w14:textId="77777777" w:rsidR="00EF3247" w:rsidRDefault="00000000">
            <w:r>
              <w:rPr>
                <w:sz w:val="19"/>
              </w:rPr>
              <w:t>Connection of governance controls to prior data-layer work and future external systems</w:t>
            </w:r>
          </w:p>
        </w:tc>
        <w:tc>
          <w:tcPr>
            <w:tcW w:w="3024" w:type="dxa"/>
            <w:tcMar>
              <w:top w:w="80" w:type="dxa"/>
              <w:left w:w="80" w:type="dxa"/>
              <w:bottom w:w="80" w:type="dxa"/>
              <w:right w:w="80" w:type="dxa"/>
            </w:tcMar>
            <w:vAlign w:val="center"/>
          </w:tcPr>
          <w:p w14:paraId="1C37111D" w14:textId="77777777" w:rsidR="00EF3247" w:rsidRDefault="00000000">
            <w:r>
              <w:rPr>
                <w:sz w:val="19"/>
              </w:rPr>
              <w:t>Later integration and reuse decision</w:t>
            </w:r>
          </w:p>
        </w:tc>
      </w:tr>
    </w:tbl>
    <w:p w14:paraId="7645D475" w14:textId="77777777" w:rsidR="00EF3247" w:rsidRDefault="00EF3247"/>
    <w:p w14:paraId="6FF47CBE" w14:textId="77777777" w:rsidR="00EF3247" w:rsidRDefault="00000000">
      <w:pPr>
        <w:pStyle w:val="Heading1"/>
      </w:pPr>
      <w:r>
        <w:t>How This Sets Up the Next Conversation</w:t>
      </w:r>
    </w:p>
    <w:p w14:paraId="11628920" w14:textId="77777777" w:rsidR="00EF3247" w:rsidRDefault="00000000">
      <w:r>
        <w:t>This separation is strategically useful because it allows the architect to focus first on the most important control and governance decisions without presuming that every earlier component must be rebuilt. Later, once the governance architecture is defined, it becomes possible to ask a more precise and budget-conscious question: which earlier components are good enough to keep, which need revision, and which should be replaced?</w:t>
      </w:r>
    </w:p>
    <w:p w14:paraId="0C334D18" w14:textId="77777777" w:rsidR="00EF3247" w:rsidRDefault="00000000">
      <w:r>
        <w:t>That sequencing protects architectural clarity while preserving the possibility of salvaging useful prior work.</w:t>
      </w:r>
    </w:p>
    <w:p w14:paraId="27215B9A" w14:textId="77777777" w:rsidR="00EF3247" w:rsidRDefault="00000000">
      <w:pPr>
        <w:pStyle w:val="Heading1"/>
      </w:pPr>
      <w:r>
        <w:t>Closing Perspective</w:t>
      </w:r>
    </w:p>
    <w:p w14:paraId="45C3DA2B" w14:textId="77777777" w:rsidR="00EF3247" w:rsidRDefault="00000000">
      <w:r>
        <w:t>Consentext development is progressing across multiple parallel explorations. Some tracks focus on data capture and user experience; Phase 3.75 focuses on the governance foundation that will determine how the broader system can safely interact with AI and other approved destinations.</w:t>
      </w:r>
    </w:p>
    <w:p w14:paraId="05957872" w14:textId="77777777" w:rsidR="00EF3247" w:rsidRDefault="00000000">
      <w:r>
        <w:t>This note exists to keep those workstreams conceptually separate now so they can be integrated intelligently later.</w:t>
      </w:r>
    </w:p>
    <w:sectPr w:rsidR="00EF324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39071">
    <w:abstractNumId w:val="8"/>
  </w:num>
  <w:num w:numId="2" w16cid:durableId="1365713753">
    <w:abstractNumId w:val="6"/>
  </w:num>
  <w:num w:numId="3" w16cid:durableId="1166436746">
    <w:abstractNumId w:val="5"/>
  </w:num>
  <w:num w:numId="4" w16cid:durableId="1739546606">
    <w:abstractNumId w:val="4"/>
  </w:num>
  <w:num w:numId="5" w16cid:durableId="299380346">
    <w:abstractNumId w:val="7"/>
  </w:num>
  <w:num w:numId="6" w16cid:durableId="298607749">
    <w:abstractNumId w:val="3"/>
  </w:num>
  <w:num w:numId="7" w16cid:durableId="1325209084">
    <w:abstractNumId w:val="2"/>
  </w:num>
  <w:num w:numId="8" w16cid:durableId="92361709">
    <w:abstractNumId w:val="1"/>
  </w:num>
  <w:num w:numId="9" w16cid:durableId="167263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AA3"/>
    <w:rsid w:val="00AA1D8D"/>
    <w:rsid w:val="00B47730"/>
    <w:rsid w:val="00CB0664"/>
    <w:rsid w:val="00EF3247"/>
    <w:rsid w:val="00FB5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1D850"/>
  <w14:defaultImageDpi w14:val="300"/>
  <w15:docId w15:val="{957F924F-95F2-4CA3-B6E0-3656E54F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2026-03-16T19:12:00Z</dcterms:created>
  <dcterms:modified xsi:type="dcterms:W3CDTF">2026-03-16T19:12:00Z</dcterms:modified>
  <cp:category/>
</cp:coreProperties>
</file>