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5C" w14:textId="77777777" w:rsidR="00CC7A11" w:rsidRDefault="00000000">
      <w:pPr>
        <w:pStyle w:val="Heading1"/>
      </w:pPr>
      <w:r>
        <w:t>Consentext Architecture Overview (Jordan Brief)</w:t>
      </w:r>
    </w:p>
    <w:p w14:paraId="41274CEF" w14:textId="77777777" w:rsidR="00CC7A11" w:rsidRDefault="00000000">
      <w:r>
        <w:t>Purpose</w:t>
      </w:r>
      <w:r>
        <w:br/>
        <w:t>Provide a one-page architecture view of the Consentext system to support Phase 3.75 architecture discussions.</w:t>
      </w:r>
      <w:r>
        <w:br/>
      </w:r>
      <w:r>
        <w:br/>
        <w:t>Key Idea</w:t>
      </w:r>
      <w:r>
        <w:br/>
        <w:t>Vault stores the user’s health context.</w:t>
      </w:r>
      <w:r>
        <w:br/>
        <w:t>The governance layer (Trust Kernel) controls how that data may be accessed or shared.</w:t>
      </w:r>
      <w:r>
        <w:br/>
        <w:t>The AI Gateway governs AI interaction and outbound exposure.</w:t>
      </w:r>
      <w:r>
        <w:br/>
      </w:r>
      <w:r>
        <w:br/>
        <w:t>Architecture Model</w:t>
      </w:r>
      <w:r>
        <w:br/>
        <w:t>The system separates a DATA PLANE (where health context lives) from a CONTROL PLANE (where policy and governance decisions occur).</w:t>
      </w:r>
      <w:r>
        <w:br/>
      </w:r>
    </w:p>
    <w:p w14:paraId="1BBF56DA" w14:textId="77777777" w:rsidR="00CC7A11" w:rsidRDefault="00000000">
      <w:r>
        <w:rPr>
          <w:noProof/>
        </w:rPr>
        <w:drawing>
          <wp:inline distT="0" distB="0" distL="0" distR="0" wp14:anchorId="6C6DE2BB" wp14:editId="4EA018B8">
            <wp:extent cx="7260336" cy="5111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entext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0336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9D80" w14:textId="77777777" w:rsidR="00CC7A11" w:rsidRDefault="00000000">
      <w:r>
        <w:br/>
        <w:t>Interpretation for Phase 3.75</w:t>
      </w:r>
      <w:r>
        <w:br/>
        <w:t>Phase 3.75 focuses primarily on the CONTROL PLANE:</w:t>
      </w:r>
      <w:r>
        <w:br/>
        <w:t>• Trust Boundary</w:t>
      </w:r>
      <w:r>
        <w:br/>
        <w:t>• Consent Engine</w:t>
      </w:r>
      <w:r>
        <w:br/>
        <w:t>• Policy Evaluation</w:t>
      </w:r>
      <w:r>
        <w:br/>
        <w:t>• De‑identification</w:t>
      </w:r>
      <w:r>
        <w:br/>
        <w:t>• AI Gateway</w:t>
      </w:r>
      <w:r>
        <w:br/>
        <w:t>• Audit</w:t>
      </w:r>
      <w:r>
        <w:br/>
      </w:r>
      <w:r>
        <w:br/>
        <w:t>Existing workstreams (dashboard, ingestion, visualization) live primarily in the DATA PLANE and can integrate with the governance layer once architecture is finalized.</w:t>
      </w:r>
      <w:r>
        <w:br/>
      </w:r>
    </w:p>
    <w:sectPr w:rsidR="00CC7A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265094">
    <w:abstractNumId w:val="8"/>
  </w:num>
  <w:num w:numId="2" w16cid:durableId="1432967405">
    <w:abstractNumId w:val="6"/>
  </w:num>
  <w:num w:numId="3" w16cid:durableId="1402214308">
    <w:abstractNumId w:val="5"/>
  </w:num>
  <w:num w:numId="4" w16cid:durableId="847401065">
    <w:abstractNumId w:val="4"/>
  </w:num>
  <w:num w:numId="5" w16cid:durableId="1975258099">
    <w:abstractNumId w:val="7"/>
  </w:num>
  <w:num w:numId="6" w16cid:durableId="693113002">
    <w:abstractNumId w:val="3"/>
  </w:num>
  <w:num w:numId="7" w16cid:durableId="1130443235">
    <w:abstractNumId w:val="2"/>
  </w:num>
  <w:num w:numId="8" w16cid:durableId="1108279858">
    <w:abstractNumId w:val="1"/>
  </w:num>
  <w:num w:numId="9" w16cid:durableId="111263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554"/>
    <w:rsid w:val="004F7B26"/>
    <w:rsid w:val="00AA1D8D"/>
    <w:rsid w:val="00B47730"/>
    <w:rsid w:val="00CB0664"/>
    <w:rsid w:val="00CC7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F167D"/>
  <w14:defaultImageDpi w14:val="300"/>
  <w15:docId w15:val="{D62DDF10-22FA-4639-B26A-DE07CED8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Kowalski</cp:lastModifiedBy>
  <cp:revision>2</cp:revision>
  <dcterms:created xsi:type="dcterms:W3CDTF">2026-03-16T18:50:00Z</dcterms:created>
  <dcterms:modified xsi:type="dcterms:W3CDTF">2026-03-16T18:50:00Z</dcterms:modified>
  <cp:category/>
</cp:coreProperties>
</file>