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C918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answers for Claude Code</w:t>
      </w:r>
    </w:p>
    <w:p w14:paraId="0CD490E3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Consent schema</w:t>
      </w:r>
    </w:p>
    <w:p w14:paraId="51C70EFC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decision</w:t>
      </w:r>
    </w:p>
    <w:p w14:paraId="5C96AE11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should use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levels of consent state at once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A097D2" w14:textId="77777777" w:rsidR="00624760" w:rsidRPr="00624760" w:rsidRDefault="00624760" w:rsidP="00624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lane permissions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at the user profile level</w:t>
      </w:r>
    </w:p>
    <w:p w14:paraId="7AED1E5D" w14:textId="77777777" w:rsidR="00624760" w:rsidRPr="00624760" w:rsidRDefault="00624760" w:rsidP="00624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Per-request approval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for any outbound sharing event</w:t>
      </w:r>
    </w:p>
    <w:p w14:paraId="75B2D622" w14:textId="77777777" w:rsidR="00624760" w:rsidRPr="00624760" w:rsidRDefault="00624760" w:rsidP="00624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Session-level memory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only for convenience, never as a substitute for policy</w:t>
      </w:r>
    </w:p>
    <w:p w14:paraId="68CDDC6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rule</w:t>
      </w:r>
    </w:p>
    <w:p w14:paraId="3C8D0D3F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A user can allow or block each governed lane independently:</w:t>
      </w:r>
    </w:p>
    <w:p w14:paraId="0A41FBB6" w14:textId="77777777" w:rsidR="00624760" w:rsidRPr="00624760" w:rsidRDefault="00624760" w:rsidP="0062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Deterministic: on by default</w:t>
      </w:r>
    </w:p>
    <w:p w14:paraId="20623615" w14:textId="77777777" w:rsidR="00624760" w:rsidRPr="00624760" w:rsidRDefault="00624760" w:rsidP="0062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Private: user-controlled, but recommended on</w:t>
      </w:r>
    </w:p>
    <w:p w14:paraId="72C1899C" w14:textId="77777777" w:rsidR="00624760" w:rsidRPr="00624760" w:rsidRDefault="00624760" w:rsidP="0062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Private+: user-controlled, requires </w:t>
      </w:r>
      <w:proofErr w:type="gram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outbound-share</w:t>
      </w:r>
      <w:proofErr w:type="gram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approval</w:t>
      </w:r>
    </w:p>
    <w:p w14:paraId="05C9188A" w14:textId="77777777" w:rsidR="00624760" w:rsidRPr="00624760" w:rsidRDefault="00624760" w:rsidP="0062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Max Intelligence: user-controlled, requires higher-friction approval</w:t>
      </w:r>
    </w:p>
    <w:p w14:paraId="0EBF2B25" w14:textId="77777777" w:rsidR="00624760" w:rsidRPr="00624760" w:rsidRDefault="00624760" w:rsidP="0062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Off-Board: outside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protections, not a governed lane</w:t>
      </w:r>
    </w:p>
    <w:p w14:paraId="56E6E91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This fits your existing architecture because your materials already define field-level, purpose-limited, time-bound, instantly revocable grants, with runtime ALLOW/DENY checks on every request and no bypasses. They also state that revocation instantly kills a grant and associated tokens. </w:t>
      </w:r>
    </w:p>
    <w:p w14:paraId="73889EC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5B3FEB18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3E2AD78D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Revocation behavior</w:t>
      </w:r>
    </w:p>
    <w:p w14:paraId="0C9C2247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If consent is revoked mid-session:</w:t>
      </w:r>
    </w:p>
    <w:p w14:paraId="5CDBC067" w14:textId="77777777" w:rsidR="00624760" w:rsidRPr="00624760" w:rsidRDefault="00624760" w:rsidP="0062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Any new request is denied immediately</w:t>
      </w:r>
    </w:p>
    <w:p w14:paraId="75711B9D" w14:textId="77777777" w:rsidR="00624760" w:rsidRPr="00624760" w:rsidRDefault="00624760" w:rsidP="0062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Any in-flight outbound request that has not yet been transmitted is cancelled</w:t>
      </w:r>
    </w:p>
    <w:p w14:paraId="0F3D3AF8" w14:textId="77777777" w:rsidR="00624760" w:rsidRPr="00624760" w:rsidRDefault="00624760" w:rsidP="0062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If data has already been transmitted externally, the session is marked as partially completed and the audit trail records that revocation occurred after export</w:t>
      </w:r>
    </w:p>
    <w:p w14:paraId="3B0BE2FB" w14:textId="77777777" w:rsidR="00624760" w:rsidRPr="00624760" w:rsidRDefault="00624760" w:rsidP="0062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All associated scoped tokens are invalidated immediately</w:t>
      </w:r>
    </w:p>
    <w:p w14:paraId="520F9B70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That is consistent with your revocation language and with the architecture’s policy-first flow. </w:t>
      </w:r>
    </w:p>
    <w:p w14:paraId="3BCAF2E0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73D45762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slider vs. Trust Kernel / policy engine</w:t>
      </w:r>
    </w:p>
    <w:p w14:paraId="34294CE7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The trust preference </w:t>
      </w:r>
      <w:proofErr w:type="gram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slider</w:t>
      </w:r>
      <w:proofErr w:type="gram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should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override policy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. It should act as a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preference input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, not an authority. Final routing order should be:</w:t>
      </w:r>
    </w:p>
    <w:p w14:paraId="2F780EF7" w14:textId="77777777" w:rsidR="00624760" w:rsidRPr="00624760" w:rsidRDefault="00624760" w:rsidP="0062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User request</w:t>
      </w:r>
    </w:p>
    <w:p w14:paraId="2BE2D36D" w14:textId="77777777" w:rsidR="00624760" w:rsidRPr="00624760" w:rsidRDefault="00624760" w:rsidP="0062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Policy / consent evaluation</w:t>
      </w:r>
    </w:p>
    <w:p w14:paraId="37D5D131" w14:textId="77777777" w:rsidR="00624760" w:rsidRPr="00624760" w:rsidRDefault="00624760" w:rsidP="0062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Trust preference influence</w:t>
      </w:r>
    </w:p>
    <w:p w14:paraId="20C7216A" w14:textId="77777777" w:rsidR="00624760" w:rsidRPr="00624760" w:rsidRDefault="00624760" w:rsidP="0062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Lane selection from the allowed set</w:t>
      </w:r>
    </w:p>
    <w:p w14:paraId="1259A678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That aligns with your documented gateway flow, where the gateway classifies, applies exposure logic, then routes; and with the architecture framework that says the user trust preference is applied before routing, not above the rules. </w:t>
      </w:r>
    </w:p>
    <w:p w14:paraId="1453FD99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Gateway_Shared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Ca…</w:t>
      </w:r>
    </w:p>
    <w:p w14:paraId="75348C4D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Consentext_AI_Gateway_Working_A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7BF76F3D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prototype phrasing for Fong</w:t>
      </w:r>
    </w:p>
    <w:p w14:paraId="5E736E5F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“Consent is per-lane and purpose-bound. Persistent lane permissions can be stored at the profile level, but any outbound share in Private+ or Max Intelligence still requires explicit approval at the request level unless the user has granted a time-bound standing permission. Revocation is immediate: all scoped tokens are invalidated, future requests are denied, and any non-transmitted outbound request is cancelled.”</w:t>
      </w:r>
    </w:p>
    <w:p w14:paraId="0D5E0C0E" w14:textId="77777777" w:rsidR="00624760" w:rsidRPr="00624760" w:rsidRDefault="00624760" w:rsidP="006247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pict w14:anchorId="1AD360B8">
          <v:rect id="_x0000_i1025" style="width:0;height:1.5pt" o:hralign="center" o:hrstd="t" o:hr="t" fillcolor="#a0a0a0" stroked="f"/>
        </w:pict>
      </w:r>
    </w:p>
    <w:p w14:paraId="6C012AE2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Reduced packet algorithm</w:t>
      </w:r>
    </w:p>
    <w:p w14:paraId="03D709FB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Your canon already gives the core idea: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a lot, send a little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. Private+ uses a reduced, minimum-necessary context packet, while Max Intelligence allows broader governed export. </w:t>
      </w:r>
    </w:p>
    <w:p w14:paraId="6BA6889F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Gateway_Shared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Ca…</w:t>
      </w:r>
    </w:p>
    <w:p w14:paraId="6ED41C91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Gateway_Shared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Ca…</w:t>
      </w:r>
    </w:p>
    <w:p w14:paraId="5A58DA97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formal rule</w:t>
      </w:r>
    </w:p>
    <w:p w14:paraId="1DC6ACB2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Minimum necessary should be determined by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BFA55" w14:textId="77777777" w:rsidR="00624760" w:rsidRPr="00624760" w:rsidRDefault="00624760" w:rsidP="00624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type</w:t>
      </w:r>
    </w:p>
    <w:p w14:paraId="371F8EA2" w14:textId="77777777" w:rsidR="00624760" w:rsidRPr="00624760" w:rsidRDefault="00624760" w:rsidP="00624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sensitivity</w:t>
      </w:r>
    </w:p>
    <w:p w14:paraId="50AFAB13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the algorithm is:</w:t>
      </w:r>
    </w:p>
    <w:p w14:paraId="7E42EA04" w14:textId="77777777" w:rsidR="00624760" w:rsidRPr="00624760" w:rsidRDefault="00624760" w:rsidP="0062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Classify the request</w:t>
      </w:r>
    </w:p>
    <w:p w14:paraId="68188DCB" w14:textId="77777777" w:rsidR="00624760" w:rsidRPr="00624760" w:rsidRDefault="00624760" w:rsidP="0062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Determine the minimum task features needed</w:t>
      </w:r>
    </w:p>
    <w:p w14:paraId="110485C8" w14:textId="77777777" w:rsidR="00624760" w:rsidRPr="00624760" w:rsidRDefault="00624760" w:rsidP="0062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Filter those features through field sensitivity rules</w:t>
      </w:r>
    </w:p>
    <w:p w14:paraId="758D05BF" w14:textId="77777777" w:rsidR="00624760" w:rsidRPr="00624760" w:rsidRDefault="00624760" w:rsidP="0062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Filter again through provider policy</w:t>
      </w:r>
    </w:p>
    <w:p w14:paraId="3E226427" w14:textId="77777777" w:rsidR="00624760" w:rsidRPr="00624760" w:rsidRDefault="00624760" w:rsidP="0062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Generate preview + audit entry before transmission</w:t>
      </w:r>
    </w:p>
    <w:p w14:paraId="4868F812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cleanest architect-ready answer because it matches your exposure logic concept and your de-identification-before-external-routing model. </w:t>
      </w:r>
    </w:p>
    <w:p w14:paraId="7E01A473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Gateway_Shared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Ca…</w:t>
      </w:r>
    </w:p>
    <w:p w14:paraId="200ECEC8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731FA3FF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field sensitivity table for prototype</w:t>
      </w:r>
    </w:p>
    <w:p w14:paraId="1FE36992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Use this as your rough-draft policy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447"/>
        <w:gridCol w:w="1553"/>
        <w:gridCol w:w="1170"/>
        <w:gridCol w:w="1194"/>
        <w:gridCol w:w="1937"/>
      </w:tblGrid>
      <w:tr w:rsidR="00624760" w:rsidRPr="00624760" w14:paraId="4DEB3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5CA4C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/ data type</w:t>
            </w:r>
          </w:p>
        </w:tc>
        <w:tc>
          <w:tcPr>
            <w:tcW w:w="0" w:type="auto"/>
            <w:vAlign w:val="center"/>
            <w:hideMark/>
          </w:tcPr>
          <w:p w14:paraId="603EB1A8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Sensitivity tier</w:t>
            </w:r>
          </w:p>
        </w:tc>
        <w:tc>
          <w:tcPr>
            <w:tcW w:w="0" w:type="auto"/>
            <w:vAlign w:val="center"/>
            <w:hideMark/>
          </w:tcPr>
          <w:p w14:paraId="6032512C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0560E858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1BE25E6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Private+</w:t>
            </w:r>
          </w:p>
        </w:tc>
        <w:tc>
          <w:tcPr>
            <w:tcW w:w="0" w:type="auto"/>
            <w:vAlign w:val="center"/>
            <w:hideMark/>
          </w:tcPr>
          <w:p w14:paraId="26C0CFA8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Intelligence</w:t>
            </w:r>
          </w:p>
        </w:tc>
      </w:tr>
      <w:tr w:rsidR="00624760" w:rsidRPr="00624760" w14:paraId="19A2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F5D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record IDs</w:t>
            </w:r>
          </w:p>
        </w:tc>
        <w:tc>
          <w:tcPr>
            <w:tcW w:w="0" w:type="auto"/>
            <w:vAlign w:val="center"/>
            <w:hideMark/>
          </w:tcPr>
          <w:p w14:paraId="6CD26376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5E3E8E7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20EC5AF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2669EF7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13DA1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624760" w:rsidRPr="00624760" w14:paraId="3934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982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3B16F5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79099440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7F89633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54B13570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5BE38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624760" w:rsidRPr="00624760" w14:paraId="4C4A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DCDF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 (exact)</w:t>
            </w:r>
          </w:p>
        </w:tc>
        <w:tc>
          <w:tcPr>
            <w:tcW w:w="0" w:type="auto"/>
            <w:vAlign w:val="center"/>
            <w:hideMark/>
          </w:tcPr>
          <w:p w14:paraId="5EFF253C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7D4460E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4346BCFC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0BCCF09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36403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624760" w:rsidRPr="00624760" w14:paraId="2AACB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35FF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/ age band</w:t>
            </w:r>
          </w:p>
        </w:tc>
        <w:tc>
          <w:tcPr>
            <w:tcW w:w="0" w:type="auto"/>
            <w:vAlign w:val="center"/>
            <w:hideMark/>
          </w:tcPr>
          <w:p w14:paraId="56B670F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17D0AD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AD51B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25B82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16404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28EA3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5E0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26C14D1F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0B86D8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4F015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F3B8B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01B78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5B977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634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address / phone / email</w:t>
            </w:r>
          </w:p>
        </w:tc>
        <w:tc>
          <w:tcPr>
            <w:tcW w:w="0" w:type="auto"/>
            <w:vAlign w:val="center"/>
            <w:hideMark/>
          </w:tcPr>
          <w:p w14:paraId="52800D01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157FCF6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6343AB4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360ECA5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7535A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624760" w:rsidRPr="00624760" w14:paraId="7388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F686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Diagnosis codes / clinician notes</w:t>
            </w:r>
          </w:p>
        </w:tc>
        <w:tc>
          <w:tcPr>
            <w:tcW w:w="0" w:type="auto"/>
            <w:vAlign w:val="center"/>
            <w:hideMark/>
          </w:tcPr>
          <w:p w14:paraId="03CB6BE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F7C5CD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156C227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7073E72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2977C9E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624760" w:rsidRPr="00624760" w14:paraId="5900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D1B1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 names</w:t>
            </w:r>
          </w:p>
        </w:tc>
        <w:tc>
          <w:tcPr>
            <w:tcW w:w="0" w:type="auto"/>
            <w:vAlign w:val="center"/>
            <w:hideMark/>
          </w:tcPr>
          <w:p w14:paraId="2CEF5A0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5D9981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22D6D756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270FC04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224F586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624760" w:rsidRPr="00624760" w14:paraId="2A6A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3B8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lab values</w:t>
            </w:r>
          </w:p>
        </w:tc>
        <w:tc>
          <w:tcPr>
            <w:tcW w:w="0" w:type="auto"/>
            <w:vAlign w:val="center"/>
            <w:hideMark/>
          </w:tcPr>
          <w:p w14:paraId="2D88A381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F5504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15610C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38FE7A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47873E3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68AD0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F74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trend summaries</w:t>
            </w:r>
          </w:p>
        </w:tc>
        <w:tc>
          <w:tcPr>
            <w:tcW w:w="0" w:type="auto"/>
            <w:vAlign w:val="center"/>
            <w:hideMark/>
          </w:tcPr>
          <w:p w14:paraId="140DDAD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14:paraId="7291B88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61235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962DE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6BDA9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220D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DEF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Wearable raw stream</w:t>
            </w:r>
          </w:p>
        </w:tc>
        <w:tc>
          <w:tcPr>
            <w:tcW w:w="0" w:type="auto"/>
            <w:vAlign w:val="center"/>
            <w:hideMark/>
          </w:tcPr>
          <w:p w14:paraId="2F55C9D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2C6A50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07F73D8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330136C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9FEB2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624760" w:rsidRPr="00624760" w14:paraId="770CF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C29A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Wearable summaries / trend labels</w:t>
            </w:r>
          </w:p>
        </w:tc>
        <w:tc>
          <w:tcPr>
            <w:tcW w:w="0" w:type="auto"/>
            <w:vAlign w:val="center"/>
            <w:hideMark/>
          </w:tcPr>
          <w:p w14:paraId="3CD7820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A36E81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D3144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BE5B6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C4AC26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63AC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73D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Free-text uploaded docs</w:t>
            </w:r>
          </w:p>
        </w:tc>
        <w:tc>
          <w:tcPr>
            <w:tcW w:w="0" w:type="auto"/>
            <w:vAlign w:val="center"/>
            <w:hideMark/>
          </w:tcPr>
          <w:p w14:paraId="00A5E32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77077BFF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752CCE0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  <w:proofErr w:type="gramEnd"/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 only</w:t>
            </w:r>
          </w:p>
        </w:tc>
        <w:tc>
          <w:tcPr>
            <w:tcW w:w="0" w:type="auto"/>
            <w:vAlign w:val="center"/>
            <w:hideMark/>
          </w:tcPr>
          <w:p w14:paraId="52E82F8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73C07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unless explicitly approved</w:t>
            </w:r>
          </w:p>
        </w:tc>
      </w:tr>
      <w:tr w:rsidR="00624760" w:rsidRPr="00624760" w14:paraId="4F89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E63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De-identified condition category</w:t>
            </w:r>
          </w:p>
        </w:tc>
        <w:tc>
          <w:tcPr>
            <w:tcW w:w="0" w:type="auto"/>
            <w:vAlign w:val="center"/>
            <w:hideMark/>
          </w:tcPr>
          <w:p w14:paraId="37803B3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6BD2F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8A2E5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20B82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460710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4931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BDF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query intent only</w:t>
            </w:r>
          </w:p>
        </w:tc>
        <w:tc>
          <w:tcPr>
            <w:tcW w:w="0" w:type="auto"/>
            <w:vAlign w:val="center"/>
            <w:hideMark/>
          </w:tcPr>
          <w:p w14:paraId="6987600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7CE34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27439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584E1F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B9CE6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1FC4006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prototype rule by lane</w:t>
      </w:r>
    </w:p>
    <w:p w14:paraId="4530D310" w14:textId="77777777" w:rsidR="00624760" w:rsidRPr="00624760" w:rsidRDefault="00624760" w:rsidP="0062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Deterministic: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full internal structured data allowed, no export</w:t>
      </w:r>
    </w:p>
    <w:p w14:paraId="7D1DDF15" w14:textId="77777777" w:rsidR="00624760" w:rsidRPr="00624760" w:rsidRDefault="00624760" w:rsidP="0062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Private: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full protected internal context allowed, no export</w:t>
      </w:r>
    </w:p>
    <w:p w14:paraId="7E042A67" w14:textId="77777777" w:rsidR="00624760" w:rsidRPr="00624760" w:rsidRDefault="00624760" w:rsidP="0062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Private+: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only reduced packet fields marked low/medium and task-relevant</w:t>
      </w:r>
    </w:p>
    <w:p w14:paraId="00DBA257" w14:textId="77777777" w:rsidR="00624760" w:rsidRPr="00624760" w:rsidRDefault="00624760" w:rsidP="0062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Intelligence: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broader export allowed, but still purpose-limited, previewed, and audited</w:t>
      </w:r>
    </w:p>
    <w:p w14:paraId="04EF8CE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That matches the canon’s lane definitions and your architecture docs. </w:t>
      </w:r>
    </w:p>
    <w:p w14:paraId="74FCE3E3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Gateway_Shared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Ca…</w:t>
      </w:r>
    </w:p>
    <w:p w14:paraId="24BF77BB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Gateway_doc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2_For…</w:t>
      </w:r>
    </w:p>
    <w:p w14:paraId="606109B0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Provider-specific rule</w:t>
      </w:r>
    </w:p>
    <w:p w14:paraId="05BD8D17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Yes, the reduced packet should differ by provider class:</w:t>
      </w:r>
    </w:p>
    <w:p w14:paraId="53DA7143" w14:textId="77777777" w:rsidR="00624760" w:rsidRPr="00624760" w:rsidRDefault="00624760" w:rsidP="00624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HIPAA-covered / BAA-backed provider: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allowed broader but still minimum-necessary export</w:t>
      </w:r>
    </w:p>
    <w:p w14:paraId="7E38033C" w14:textId="77777777" w:rsidR="00624760" w:rsidRPr="00624760" w:rsidRDefault="00624760" w:rsidP="00624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Non-BAA external provider: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stricter minimized export</w:t>
      </w:r>
    </w:p>
    <w:p w14:paraId="45E10437" w14:textId="77777777" w:rsidR="00624760" w:rsidRPr="00624760" w:rsidRDefault="00624760" w:rsidP="00624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Unmanaged direct UI: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Off-Board</w:t>
      </w:r>
    </w:p>
    <w:p w14:paraId="646B8FB7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That distinction is not fully specified in your current docs, so this is a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policy decision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, not something already locked in your canon.</w:t>
      </w:r>
    </w:p>
    <w:p w14:paraId="0D75423D" w14:textId="77777777" w:rsidR="00624760" w:rsidRPr="00624760" w:rsidRDefault="00624760" w:rsidP="006247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pict w14:anchorId="3A323B00">
          <v:rect id="_x0000_i1026" style="width:0;height:1.5pt" o:hralign="center" o:hrstd="t" o:hr="t" fillcolor="#a0a0a0" stroked="f"/>
        </w:pict>
      </w:r>
    </w:p>
    <w:p w14:paraId="667AE112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Agent boundary enforcement</w:t>
      </w:r>
    </w:p>
    <w:p w14:paraId="13195140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Your architecture already says the trust boundary is crossed only via Consent Engine + AI Gateway, and every request is runtime-evaluated with no bypasses. </w:t>
      </w:r>
    </w:p>
    <w:p w14:paraId="4D4EB25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5F1C358D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capability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039"/>
        <w:gridCol w:w="1154"/>
        <w:gridCol w:w="2193"/>
        <w:gridCol w:w="2208"/>
      </w:tblGrid>
      <w:tr w:rsidR="00624760" w:rsidRPr="00624760" w14:paraId="06AF0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F57C9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11793A3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508790FB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BD1D2EF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Private+</w:t>
            </w:r>
          </w:p>
        </w:tc>
        <w:tc>
          <w:tcPr>
            <w:tcW w:w="0" w:type="auto"/>
            <w:vAlign w:val="center"/>
            <w:hideMark/>
          </w:tcPr>
          <w:p w14:paraId="3B960E4A" w14:textId="77777777" w:rsidR="00624760" w:rsidRPr="00624760" w:rsidRDefault="00624760" w:rsidP="00624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Intelligence</w:t>
            </w:r>
          </w:p>
        </w:tc>
      </w:tr>
      <w:tr w:rsidR="00624760" w:rsidRPr="00624760" w14:paraId="1334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7ED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structured internal data</w:t>
            </w:r>
          </w:p>
        </w:tc>
        <w:tc>
          <w:tcPr>
            <w:tcW w:w="0" w:type="auto"/>
            <w:vAlign w:val="center"/>
            <w:hideMark/>
          </w:tcPr>
          <w:p w14:paraId="1D97622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9D7BE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A69EC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limited</w:t>
            </w:r>
          </w:p>
        </w:tc>
        <w:tc>
          <w:tcPr>
            <w:tcW w:w="0" w:type="auto"/>
            <w:vAlign w:val="center"/>
            <w:hideMark/>
          </w:tcPr>
          <w:p w14:paraId="22257CE1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governed</w:t>
            </w:r>
          </w:p>
        </w:tc>
      </w:tr>
      <w:tr w:rsidR="00624760" w:rsidRPr="00624760" w14:paraId="57AE9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ED5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free-text sensitive record</w:t>
            </w:r>
          </w:p>
        </w:tc>
        <w:tc>
          <w:tcPr>
            <w:tcW w:w="0" w:type="auto"/>
            <w:vAlign w:val="center"/>
            <w:hideMark/>
          </w:tcPr>
          <w:p w14:paraId="1F4C125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unless needed for structured extraction</w:t>
            </w:r>
          </w:p>
        </w:tc>
        <w:tc>
          <w:tcPr>
            <w:tcW w:w="0" w:type="auto"/>
            <w:vAlign w:val="center"/>
            <w:hideMark/>
          </w:tcPr>
          <w:p w14:paraId="4468F36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4F18D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by default</w:t>
            </w:r>
          </w:p>
        </w:tc>
        <w:tc>
          <w:tcPr>
            <w:tcW w:w="0" w:type="auto"/>
            <w:vAlign w:val="center"/>
            <w:hideMark/>
          </w:tcPr>
          <w:p w14:paraId="3A7939E3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by policy</w:t>
            </w:r>
          </w:p>
        </w:tc>
      </w:tr>
      <w:tr w:rsidR="00624760" w:rsidRPr="00624760" w14:paraId="34A5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BE8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internal LLM</w:t>
            </w:r>
          </w:p>
        </w:tc>
        <w:tc>
          <w:tcPr>
            <w:tcW w:w="0" w:type="auto"/>
            <w:vAlign w:val="center"/>
            <w:hideMark/>
          </w:tcPr>
          <w:p w14:paraId="62204C4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1A6C8D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C3184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internal preprocessing only</w:t>
            </w:r>
          </w:p>
        </w:tc>
        <w:tc>
          <w:tcPr>
            <w:tcW w:w="0" w:type="auto"/>
            <w:vAlign w:val="center"/>
            <w:hideMark/>
          </w:tcPr>
          <w:p w14:paraId="1386C7A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24760" w:rsidRPr="00624760" w14:paraId="7DC5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EB7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 external AI API</w:t>
            </w:r>
          </w:p>
        </w:tc>
        <w:tc>
          <w:tcPr>
            <w:tcW w:w="0" w:type="auto"/>
            <w:vAlign w:val="center"/>
            <w:hideMark/>
          </w:tcPr>
          <w:p w14:paraId="2AE857FF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84947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40C0B2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2D453A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4DDE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1D0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reduced packet</w:t>
            </w:r>
          </w:p>
        </w:tc>
        <w:tc>
          <w:tcPr>
            <w:tcW w:w="0" w:type="auto"/>
            <w:vAlign w:val="center"/>
            <w:hideMark/>
          </w:tcPr>
          <w:p w14:paraId="106610AD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9A77B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F0850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2BF83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24760" w:rsidRPr="00624760" w14:paraId="7509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B0FD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full protected context</w:t>
            </w:r>
          </w:p>
        </w:tc>
        <w:tc>
          <w:tcPr>
            <w:tcW w:w="0" w:type="auto"/>
            <w:vAlign w:val="center"/>
            <w:hideMark/>
          </w:tcPr>
          <w:p w14:paraId="3FC8C59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50BFA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D4E099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B94E9C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Conditional, only if policy + user approval allow</w:t>
            </w:r>
          </w:p>
        </w:tc>
      </w:tr>
      <w:tr w:rsidR="00624760" w:rsidRPr="00624760" w14:paraId="77BF1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513C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cross-lane escalation</w:t>
            </w:r>
          </w:p>
        </w:tc>
        <w:tc>
          <w:tcPr>
            <w:tcW w:w="0" w:type="auto"/>
            <w:vAlign w:val="center"/>
            <w:hideMark/>
          </w:tcPr>
          <w:p w14:paraId="25100EB1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105000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via gateway only</w:t>
            </w:r>
          </w:p>
        </w:tc>
        <w:tc>
          <w:tcPr>
            <w:tcW w:w="0" w:type="auto"/>
            <w:vAlign w:val="center"/>
            <w:hideMark/>
          </w:tcPr>
          <w:p w14:paraId="30D9F694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via gateway only</w:t>
            </w:r>
          </w:p>
        </w:tc>
        <w:tc>
          <w:tcPr>
            <w:tcW w:w="0" w:type="auto"/>
            <w:vAlign w:val="center"/>
            <w:hideMark/>
          </w:tcPr>
          <w:p w14:paraId="34D558DE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via gateway only</w:t>
            </w:r>
          </w:p>
        </w:tc>
      </w:tr>
      <w:tr w:rsidR="00624760" w:rsidRPr="00624760" w14:paraId="5BD0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712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bypass gateway / policy engine</w:t>
            </w:r>
          </w:p>
        </w:tc>
        <w:tc>
          <w:tcPr>
            <w:tcW w:w="0" w:type="auto"/>
            <w:vAlign w:val="center"/>
            <w:hideMark/>
          </w:tcPr>
          <w:p w14:paraId="67CD0D3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817A75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43B52B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8A043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624760" w:rsidRPr="00624760" w14:paraId="27FDA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F38C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 on timeout</w:t>
            </w:r>
          </w:p>
        </w:tc>
        <w:tc>
          <w:tcPr>
            <w:tcW w:w="0" w:type="auto"/>
            <w:vAlign w:val="center"/>
            <w:hideMark/>
          </w:tcPr>
          <w:p w14:paraId="3713339A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deterministic retry</w:t>
            </w:r>
          </w:p>
        </w:tc>
        <w:tc>
          <w:tcPr>
            <w:tcW w:w="0" w:type="auto"/>
            <w:vAlign w:val="center"/>
            <w:hideMark/>
          </w:tcPr>
          <w:p w14:paraId="76AF6A9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retry once</w:t>
            </w:r>
          </w:p>
        </w:tc>
        <w:tc>
          <w:tcPr>
            <w:tcW w:w="0" w:type="auto"/>
            <w:vAlign w:val="center"/>
            <w:hideMark/>
          </w:tcPr>
          <w:p w14:paraId="42992648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 once, then user-visible approval/retry choice</w:t>
            </w:r>
          </w:p>
        </w:tc>
        <w:tc>
          <w:tcPr>
            <w:tcW w:w="0" w:type="auto"/>
            <w:vAlign w:val="center"/>
            <w:hideMark/>
          </w:tcPr>
          <w:p w14:paraId="085E62B7" w14:textId="77777777" w:rsidR="00624760" w:rsidRPr="00624760" w:rsidRDefault="00624760" w:rsidP="00624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7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 once, then user-visible approval/retry choice</w:t>
            </w:r>
          </w:p>
        </w:tc>
      </w:tr>
    </w:tbl>
    <w:p w14:paraId="4A49EF6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Cross-lane rule</w:t>
      </w:r>
    </w:p>
    <w:p w14:paraId="1171C438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An agent cannot directly request a broader scope than its current lane. It can only ask the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to reclassify or escalate. The gateway then performs a fresh consent + policy check.</w:t>
      </w:r>
    </w:p>
    <w:p w14:paraId="5481599B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cleanest answer and fits your “no bypasses” model. </w:t>
      </w:r>
    </w:p>
    <w:p w14:paraId="0157712B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129D3AA4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behavior</w:t>
      </w:r>
    </w:p>
    <w:p w14:paraId="34DF6C03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Recommended prototype behavior:</w:t>
      </w:r>
    </w:p>
    <w:p w14:paraId="7A3F8A89" w14:textId="77777777" w:rsidR="00624760" w:rsidRPr="00624760" w:rsidRDefault="00624760" w:rsidP="00624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deterministic failure: retry once automatically if idempotent</w:t>
      </w:r>
    </w:p>
    <w:p w14:paraId="72B2B159" w14:textId="77777777" w:rsidR="00624760" w:rsidRPr="00624760" w:rsidRDefault="00624760" w:rsidP="00624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private failure: retry once internally; if failure continues, return “</w:t>
      </w:r>
      <w:proofErr w:type="gram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Protected lane</w:t>
      </w:r>
      <w:proofErr w:type="gram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unavailable”</w:t>
      </w:r>
    </w:p>
    <w:p w14:paraId="4C4AAA6D" w14:textId="77777777" w:rsidR="00624760" w:rsidRPr="00624760" w:rsidRDefault="00624760" w:rsidP="00624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private+ / max failure: do not silently downgrade or broaden; surface to user and require explicit retry or reroute approval</w:t>
      </w:r>
    </w:p>
    <w:p w14:paraId="6779049E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That keeps governance visible, which your prototype brief says is essential. </w:t>
      </w:r>
    </w:p>
    <w:p w14:paraId="28B30641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Gateway_doc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2_For…</w:t>
      </w:r>
    </w:p>
    <w:p w14:paraId="7703B1D1" w14:textId="77777777" w:rsidR="00624760" w:rsidRPr="00624760" w:rsidRDefault="00624760" w:rsidP="006247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pict w14:anchorId="340E45C5">
          <v:rect id="_x0000_i1027" style="width:0;height:1.5pt" o:hralign="center" o:hrstd="t" o:hr="t" fillcolor="#a0a0a0" stroked="f"/>
        </w:pict>
      </w:r>
    </w:p>
    <w:p w14:paraId="63C9A6B2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2: HIPAA/compliance answers</w:t>
      </w:r>
    </w:p>
    <w:p w14:paraId="4A0CD999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Audit retention and encryption</w:t>
      </w:r>
    </w:p>
    <w:p w14:paraId="6A04A1BD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Your own materials already establish append-only logging, full interaction logging, user-facing audit view, admin export, and an audit receipt concept. </w:t>
      </w:r>
    </w:p>
    <w:p w14:paraId="4EBDC3B9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610A77E8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Gateway_doc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2_For…</w:t>
      </w:r>
    </w:p>
    <w:p w14:paraId="69A6E81B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On HIPAA, HHS states that individuals have a right to an accounting of certain disclosures for up to the six years preceding the request. </w:t>
      </w:r>
    </w:p>
    <w:p w14:paraId="43233212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answer</w:t>
      </w:r>
    </w:p>
    <w:p w14:paraId="3844A359" w14:textId="77777777" w:rsidR="00624760" w:rsidRPr="00624760" w:rsidRDefault="00624760" w:rsidP="00624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Audit logs encrypted at rest: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</w:p>
    <w:p w14:paraId="3C3B59C2" w14:textId="77777777" w:rsidR="00624760" w:rsidRPr="00624760" w:rsidRDefault="00624760" w:rsidP="00624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Working standard for prototype: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AES-256 at rest</w:t>
      </w:r>
    </w:p>
    <w:p w14:paraId="4BEF4BCE" w14:textId="77777777" w:rsidR="00624760" w:rsidRPr="00624760" w:rsidRDefault="00624760" w:rsidP="00624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Key custody: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KMS-managed master keys with per-user or per-record envelope encryption where applicable</w:t>
      </w:r>
    </w:p>
    <w:p w14:paraId="363BFFFE" w14:textId="77777777" w:rsidR="00624760" w:rsidRPr="00624760" w:rsidRDefault="00624760" w:rsidP="00624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Tamper detection: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hash-chain verified on write and on read</w:t>
      </w:r>
    </w:p>
    <w:p w14:paraId="36D88B2A" w14:textId="77777777" w:rsidR="00624760" w:rsidRPr="00624760" w:rsidRDefault="00624760" w:rsidP="00624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Patient visibility: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patient gets an audit receipt / audit view inside the vault</w:t>
      </w:r>
    </w:p>
    <w:p w14:paraId="2C5FA692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The “AES-256 + KMS + envelope encryption” piece is a sound architectural choice and consistent with your own envelope encryption language, though the exact cipher choice is a design decision rather than something already specified in the current docs. Your docs already say each user gets a unique encryption key encrypted by a master key via cloud KMS. </w:t>
      </w:r>
    </w:p>
    <w:p w14:paraId="6C86007C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Consentext_Architecture_Review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_…</w:t>
      </w:r>
    </w:p>
    <w:p w14:paraId="6BCD7FE4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One nuance: under the current HIPAA Security Rule, encryption is treated as an addressable safeguard rather than always mandatory, though HHS proposed stronger express encryption requirements in a 2024 NPRM. For your posture, using encryption by default is the stronger answer. </w:t>
      </w:r>
    </w:p>
    <w:p w14:paraId="45B04EEE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wording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“All audit events are append-only, encrypted at rest, and tamper-evident.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plans KMS-backed key management, hash-chain verification on both </w:t>
      </w:r>
      <w:proofErr w:type="gram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and read, and a patient-visible audit receipt inside the vault.”</w:t>
      </w:r>
    </w:p>
    <w:p w14:paraId="17D0D91B" w14:textId="77777777" w:rsidR="00624760" w:rsidRPr="00624760" w:rsidRDefault="00624760" w:rsidP="006247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pict w14:anchorId="22975715">
          <v:rect id="_x0000_i1028" style="width:0;height:1.5pt" o:hralign="center" o:hrstd="t" o:hr="t" fillcolor="#a0a0a0" stroked="f"/>
        </w:pict>
      </w:r>
    </w:p>
    <w:p w14:paraId="42258FB7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BAA strategy for external AI</w:t>
      </w:r>
    </w:p>
    <w:p w14:paraId="36072E1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HHS says a covered entity or business associate may use a cloud service to store or process ePHI if there is a HIPAA-compliant business associate agreement in place, and BAAs define permitted uses and safeguard obligations. </w:t>
      </w:r>
    </w:p>
    <w:p w14:paraId="4C7FA3DC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prototype position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will only route PHI-bearing or potentially identifiable reduced packets to external AI providers operating under an executed HIPAA-compliant BAA or equivalent covered relationship. For non-BAA providers,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will either block transmission of PHI-class data entirely or restrict routing to de-identified/minimized packets that do not rely on the provider as a HIPAA business associate. Any provider policy change affecting retention, training, or downstream use triggers re-review, possible suspension of that route, and user-facing notice if active permissions are affected.”</w:t>
      </w:r>
    </w:p>
    <w:p w14:paraId="57BE0CA8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That is strong enough for prototype and architect review.</w:t>
      </w:r>
    </w:p>
    <w:p w14:paraId="30F86BCA" w14:textId="77777777" w:rsidR="00624760" w:rsidRPr="00624760" w:rsidRDefault="00624760" w:rsidP="006247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pict w14:anchorId="22F4832B">
          <v:rect id="_x0000_i1029" style="width:0;height:1.5pt" o:hralign="center" o:hrstd="t" o:hr="t" fillcolor="#a0a0a0" stroked="f"/>
        </w:pict>
      </w:r>
    </w:p>
    <w:p w14:paraId="454BE74B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Breach notification flow</w:t>
      </w:r>
    </w:p>
    <w:p w14:paraId="0BF509F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Claude Code is right that this needs a simple answer. HIPAA’s Breach Notification Rule generally requires notification without unreasonable delay and no later than 60 days after discovery of a breach of unsecured PHI. HHS also notes that properly encrypted ePHI may qualify for safe harbor from breach notification if the data is not considered unsecured. </w:t>
      </w:r>
    </w:p>
    <w:p w14:paraId="528BAA16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breach flow</w:t>
      </w:r>
    </w:p>
    <w:p w14:paraId="5308DCAB" w14:textId="77777777" w:rsidR="00624760" w:rsidRPr="00624760" w:rsidRDefault="00624760" w:rsidP="00624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receives notice through contractual breach-notification clauses, provider security notices, or internal monitoring.</w:t>
      </w:r>
    </w:p>
    <w:p w14:paraId="16065B53" w14:textId="77777777" w:rsidR="00624760" w:rsidRPr="00624760" w:rsidRDefault="00624760" w:rsidP="00624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uses audit records to identify affected exports, patients, time window, provider, and data scope.</w:t>
      </w:r>
    </w:p>
    <w:p w14:paraId="0CEA3268" w14:textId="77777777" w:rsidR="00624760" w:rsidRPr="00624760" w:rsidRDefault="00624760" w:rsidP="00624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classifies whether exposed data was unsecured PHI, reduced/de-identified data, or encrypted protected data.</w:t>
      </w:r>
    </w:p>
    <w:p w14:paraId="0F9C7C8D" w14:textId="77777777" w:rsidR="00624760" w:rsidRPr="00624760" w:rsidRDefault="00624760" w:rsidP="00624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If reportable,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initiates patient notification and regulatory workflow without unreasonable delay and no later than 60 days after discovery. </w:t>
      </w:r>
    </w:p>
    <w:p w14:paraId="0162EC9E" w14:textId="77777777" w:rsidR="00624760" w:rsidRPr="00624760" w:rsidRDefault="00624760" w:rsidP="00624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Affected provider route may be suspended until review is complete.</w:t>
      </w:r>
    </w:p>
    <w:p w14:paraId="4B1C1023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That answer also reinforces why the audit ledger matters.</w:t>
      </w:r>
    </w:p>
    <w:p w14:paraId="0EA3E509" w14:textId="77777777" w:rsidR="00624760" w:rsidRPr="00624760" w:rsidRDefault="00624760" w:rsidP="006247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pict w14:anchorId="1958C77D">
          <v:rect id="_x0000_i1030" style="width:0;height:1.5pt" o:hralign="center" o:hrstd="t" o:hr="t" fillcolor="#a0a0a0" stroked="f"/>
        </w:pict>
      </w:r>
    </w:p>
    <w:p w14:paraId="409652CD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3 answers you can probably lock now</w:t>
      </w:r>
    </w:p>
    <w:p w14:paraId="61F355B7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Infrastructure decisions</w:t>
      </w:r>
    </w:p>
    <w:p w14:paraId="4F2C461D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fully determined in the docs, so these are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prototype defaults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8AB14E" w14:textId="77777777" w:rsidR="00624760" w:rsidRPr="00624760" w:rsidRDefault="00624760" w:rsidP="00624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Private lane model: </w:t>
      </w:r>
      <w:proofErr w:type="spellStart"/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-controlled cloud GPU runtime</w:t>
      </w:r>
    </w:p>
    <w:p w14:paraId="13C0F752" w14:textId="77777777" w:rsidR="00624760" w:rsidRPr="00624760" w:rsidRDefault="00624760" w:rsidP="00624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Initial hosting assumption: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US-based cloud environment</w:t>
      </w:r>
    </w:p>
    <w:p w14:paraId="6CDCD389" w14:textId="77777777" w:rsidR="00624760" w:rsidRPr="00624760" w:rsidRDefault="00624760" w:rsidP="00624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Data residency for prototype: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US-only</w:t>
      </w:r>
    </w:p>
    <w:p w14:paraId="6EAC2B4C" w14:textId="77777777" w:rsidR="00624760" w:rsidRPr="00624760" w:rsidRDefault="00624760" w:rsidP="00624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Latency targets:</w:t>
      </w:r>
    </w:p>
    <w:p w14:paraId="5E05FE9D" w14:textId="77777777" w:rsidR="00624760" w:rsidRPr="00624760" w:rsidRDefault="00624760" w:rsidP="006247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Deterministic: under 500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</w:p>
    <w:p w14:paraId="2705BE8E" w14:textId="77777777" w:rsidR="00624760" w:rsidRPr="00624760" w:rsidRDefault="00624760" w:rsidP="006247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Private: under 3 s</w:t>
      </w:r>
    </w:p>
    <w:p w14:paraId="226C082F" w14:textId="77777777" w:rsidR="00624760" w:rsidRPr="00624760" w:rsidRDefault="00624760" w:rsidP="006247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Private+: under 5 s</w:t>
      </w:r>
    </w:p>
    <w:p w14:paraId="2582A833" w14:textId="77777777" w:rsidR="00624760" w:rsidRPr="00624760" w:rsidRDefault="00624760" w:rsidP="006247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Max Intelligence: under 8 s</w:t>
      </w:r>
    </w:p>
    <w:p w14:paraId="207B7E0D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I would not over-commit beyond that for prototype.</w:t>
      </w:r>
    </w:p>
    <w:p w14:paraId="3C9F842D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Compound requests</w:t>
      </w:r>
    </w:p>
    <w:p w14:paraId="4E9E88D0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split-first policy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384EE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Example: “Explain my labs and suggest lifestyle changes.”</w:t>
      </w:r>
    </w:p>
    <w:p w14:paraId="433F717B" w14:textId="77777777" w:rsidR="00624760" w:rsidRPr="00624760" w:rsidRDefault="00624760" w:rsidP="00624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Part 1 routes to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</w:p>
    <w:p w14:paraId="73F15F69" w14:textId="77777777" w:rsidR="00624760" w:rsidRPr="00624760" w:rsidRDefault="00624760" w:rsidP="00624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Part 2 routes to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Private+</w:t>
      </w:r>
    </w:p>
    <w:p w14:paraId="0DE63649" w14:textId="77777777" w:rsidR="00624760" w:rsidRPr="00624760" w:rsidRDefault="00624760" w:rsidP="00624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UI should show either:</w:t>
      </w:r>
    </w:p>
    <w:p w14:paraId="53BD3ACD" w14:textId="77777777" w:rsidR="00624760" w:rsidRPr="00624760" w:rsidRDefault="00624760" w:rsidP="006247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split workflow, or</w:t>
      </w:r>
    </w:p>
    <w:p w14:paraId="1D85B1BA" w14:textId="77777777" w:rsidR="00624760" w:rsidRPr="00624760" w:rsidRDefault="00624760" w:rsidP="006247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recommended highest-safe composite path with explicit explanation</w:t>
      </w:r>
    </w:p>
    <w:p w14:paraId="2CFFEB96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My recommendation: for the prototype, </w:t>
      </w:r>
      <w:r w:rsidRPr="00624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both sub-tasks</w:t>
      </w: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the split. That will help the founders and Jordan see the routing intelligence.</w:t>
      </w:r>
    </w:p>
    <w:p w14:paraId="70FDAA1D" w14:textId="77777777" w:rsidR="00624760" w:rsidRPr="00624760" w:rsidRDefault="00624760" w:rsidP="00624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9) Edge-case </w:t>
      </w:r>
      <w:proofErr w:type="gramStart"/>
      <w:r w:rsidRPr="00624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tie-breakers</w:t>
      </w:r>
      <w:proofErr w:type="gramEnd"/>
    </w:p>
    <w:p w14:paraId="4E740575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You already have this in the canon:</w:t>
      </w:r>
    </w:p>
    <w:p w14:paraId="54023B22" w14:textId="77777777" w:rsidR="00624760" w:rsidRPr="00624760" w:rsidRDefault="00624760" w:rsidP="00624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prefer more private if explanation is enough</w:t>
      </w:r>
    </w:p>
    <w:p w14:paraId="74A37B30" w14:textId="77777777" w:rsidR="00624760" w:rsidRPr="00624760" w:rsidRDefault="00624760" w:rsidP="00624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prefer Private+ over Max Intelligence if reduced context is sufficient</w:t>
      </w:r>
    </w:p>
    <w:p w14:paraId="3EB9D999" w14:textId="77777777" w:rsidR="00624760" w:rsidRPr="00624760" w:rsidRDefault="00624760" w:rsidP="00624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prefer Deterministic whenever AI is not needed </w:t>
      </w:r>
    </w:p>
    <w:p w14:paraId="7ADD917A" w14:textId="77777777" w:rsidR="00624760" w:rsidRPr="00624760" w:rsidRDefault="00624760" w:rsidP="006247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>Gateway_Shared</w:t>
      </w:r>
      <w:proofErr w:type="spellEnd"/>
      <w:r w:rsidRPr="00624760">
        <w:rPr>
          <w:rFonts w:ascii="Times New Roman" w:eastAsia="Times New Roman" w:hAnsi="Times New Roman" w:cs="Times New Roman"/>
          <w:kern w:val="0"/>
          <w14:ligatures w14:val="none"/>
        </w:rPr>
        <w:t xml:space="preserve"> Ca…</w:t>
      </w:r>
    </w:p>
    <w:p w14:paraId="2122FFCA" w14:textId="77777777" w:rsidR="00624760" w:rsidRPr="00624760" w:rsidRDefault="00624760" w:rsidP="0062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760">
        <w:rPr>
          <w:rFonts w:ascii="Times New Roman" w:eastAsia="Times New Roman" w:hAnsi="Times New Roman" w:cs="Times New Roman"/>
          <w:kern w:val="0"/>
          <w14:ligatures w14:val="none"/>
        </w:rPr>
        <w:t>So yes, I would formalize that as the prototype’s default tie-break rule.</w:t>
      </w:r>
    </w:p>
    <w:p w14:paraId="72E636EB" w14:textId="77777777" w:rsidR="00A66F4D" w:rsidRDefault="00A66F4D"/>
    <w:sectPr w:rsidR="00A6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6B82"/>
    <w:multiLevelType w:val="multilevel"/>
    <w:tmpl w:val="7148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62209"/>
    <w:multiLevelType w:val="multilevel"/>
    <w:tmpl w:val="D90A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120B5"/>
    <w:multiLevelType w:val="multilevel"/>
    <w:tmpl w:val="F94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7670"/>
    <w:multiLevelType w:val="multilevel"/>
    <w:tmpl w:val="FF64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E303D"/>
    <w:multiLevelType w:val="multilevel"/>
    <w:tmpl w:val="950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72B8A"/>
    <w:multiLevelType w:val="multilevel"/>
    <w:tmpl w:val="F2E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45AA6"/>
    <w:multiLevelType w:val="multilevel"/>
    <w:tmpl w:val="CFB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736B5"/>
    <w:multiLevelType w:val="multilevel"/>
    <w:tmpl w:val="D69C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95D33"/>
    <w:multiLevelType w:val="multilevel"/>
    <w:tmpl w:val="79A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2399A"/>
    <w:multiLevelType w:val="multilevel"/>
    <w:tmpl w:val="026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E47D1"/>
    <w:multiLevelType w:val="multilevel"/>
    <w:tmpl w:val="D83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D7C78"/>
    <w:multiLevelType w:val="multilevel"/>
    <w:tmpl w:val="AC7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84424"/>
    <w:multiLevelType w:val="multilevel"/>
    <w:tmpl w:val="D80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16918"/>
    <w:multiLevelType w:val="multilevel"/>
    <w:tmpl w:val="F64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93171">
    <w:abstractNumId w:val="7"/>
  </w:num>
  <w:num w:numId="2" w16cid:durableId="338582681">
    <w:abstractNumId w:val="4"/>
  </w:num>
  <w:num w:numId="3" w16cid:durableId="1730180734">
    <w:abstractNumId w:val="2"/>
  </w:num>
  <w:num w:numId="4" w16cid:durableId="1835409986">
    <w:abstractNumId w:val="3"/>
  </w:num>
  <w:num w:numId="5" w16cid:durableId="803082544">
    <w:abstractNumId w:val="9"/>
  </w:num>
  <w:num w:numId="6" w16cid:durableId="1606230994">
    <w:abstractNumId w:val="1"/>
  </w:num>
  <w:num w:numId="7" w16cid:durableId="192037801">
    <w:abstractNumId w:val="6"/>
  </w:num>
  <w:num w:numId="8" w16cid:durableId="178592110">
    <w:abstractNumId w:val="11"/>
  </w:num>
  <w:num w:numId="9" w16cid:durableId="858197241">
    <w:abstractNumId w:val="10"/>
  </w:num>
  <w:num w:numId="10" w16cid:durableId="460273267">
    <w:abstractNumId w:val="8"/>
  </w:num>
  <w:num w:numId="11" w16cid:durableId="1651865048">
    <w:abstractNumId w:val="0"/>
  </w:num>
  <w:num w:numId="12" w16cid:durableId="1842357056">
    <w:abstractNumId w:val="5"/>
  </w:num>
  <w:num w:numId="13" w16cid:durableId="1824814587">
    <w:abstractNumId w:val="13"/>
  </w:num>
  <w:num w:numId="14" w16cid:durableId="14758742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60"/>
    <w:rsid w:val="002D74D7"/>
    <w:rsid w:val="00624760"/>
    <w:rsid w:val="008D2585"/>
    <w:rsid w:val="009A19E1"/>
    <w:rsid w:val="00A66F4D"/>
    <w:rsid w:val="00B6780B"/>
    <w:rsid w:val="00C711A2"/>
    <w:rsid w:val="00DC20B6"/>
    <w:rsid w:val="00E5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D038"/>
  <w15:chartTrackingRefBased/>
  <w15:docId w15:val="{8370A8C8-4B4A-4711-B7C1-DD52982D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Kowalski</dc:creator>
  <cp:keywords/>
  <dc:description/>
  <cp:lastModifiedBy>Gary Kowalski</cp:lastModifiedBy>
  <cp:revision>1</cp:revision>
  <dcterms:created xsi:type="dcterms:W3CDTF">2026-03-12T19:04:00Z</dcterms:created>
  <dcterms:modified xsi:type="dcterms:W3CDTF">2026-03-12T19:05:00Z</dcterms:modified>
</cp:coreProperties>
</file>