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04 — Access Enforcement Policy (Phase 3.75)</w:t>
      </w:r>
    </w:p>
    <w:p/>
    <w:p>
      <w:pPr>
        <w:pBdr>
          <w:bottom w:val="single" w:sz="6" w:space="1" w:color="BFBFBF"/>
        </w:pBdr>
      </w:pPr>
    </w:p>
    <w:p/>
    <w:p/>
    <w:p>
      <w:r/>
      <w:r>
        <w:rPr>
          <w:b/>
        </w:rPr>
        <w:t>Consentext Platform — Layer Vault Specification</w:t>
      </w:r>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rPr>
              <w:t>Version</w:t>
            </w:r>
          </w:p>
        </w:tc>
        <w:tc>
          <w:tcPr>
            <w:tcW w:type="dxa" w:w="2340"/>
          </w:tcPr>
          <w:p>
            <w:r>
              <w:rPr>
                <w:b/>
              </w:rPr>
            </w:r>
            <w:r>
              <w:rPr>
                <w:b/>
              </w:rPr>
              <w:t>Author</w:t>
            </w:r>
          </w:p>
        </w:tc>
        <w:tc>
          <w:tcPr>
            <w:tcW w:type="dxa" w:w="2340"/>
          </w:tcPr>
          <w:p>
            <w:r>
              <w:rPr>
                <w:b/>
              </w:rPr>
            </w:r>
            <w:r>
              <w:rPr>
                <w:b/>
              </w:rPr>
              <w:t>Date</w:t>
            </w:r>
          </w:p>
        </w:tc>
        <w:tc>
          <w:tcPr>
            <w:tcW w:type="dxa" w:w="2340"/>
          </w:tcPr>
          <w:p>
            <w:r>
              <w:rPr>
                <w:b/>
              </w:rPr>
            </w:r>
            <w:r>
              <w:rPr>
                <w:b/>
              </w:rPr>
              <w:t>Notes</w:t>
            </w:r>
          </w:p>
        </w:tc>
      </w:tr>
      <w:tr>
        <w:tc>
          <w:tcPr>
            <w:tcW w:type="dxa" w:w="2340"/>
          </w:tcPr>
          <w:p>
            <w:r/>
            <w:r>
              <w:t>v1.0</w:t>
            </w:r>
          </w:p>
        </w:tc>
        <w:tc>
          <w:tcPr>
            <w:tcW w:type="dxa" w:w="2340"/>
          </w:tcPr>
          <w:p>
            <w:r/>
            <w:r>
              <w:t>Phong</w:t>
            </w:r>
          </w:p>
        </w:tc>
        <w:tc>
          <w:tcPr>
            <w:tcW w:type="dxa" w:w="2340"/>
          </w:tcPr>
          <w:p>
            <w:r/>
            <w:r>
              <w:t>02.04.26</w:t>
            </w:r>
          </w:p>
        </w:tc>
        <w:tc>
          <w:tcPr>
            <w:tcW w:type="dxa" w:w="2340"/>
          </w:tcPr>
          <w:p>
            <w:r/>
            <w:r>
              <w:t>Initial draft (Phase 3.75)</w:t>
            </w:r>
          </w:p>
        </w:tc>
      </w:tr>
      <w:tr>
        <w:tc>
          <w:tcPr>
            <w:tcW w:type="dxa" w:w="2340"/>
          </w:tcPr>
          <w:p>
            <w:r/>
            <w:r>
              <w:t>v2.0</w:t>
            </w:r>
          </w:p>
        </w:tc>
        <w:tc>
          <w:tcPr>
            <w:tcW w:type="dxa" w:w="2340"/>
          </w:tcPr>
          <w:p>
            <w:r/>
            <w:r>
              <w:t>Huy Nguyen</w:t>
            </w:r>
          </w:p>
        </w:tc>
        <w:tc>
          <w:tcPr>
            <w:tcW w:type="dxa" w:w="2340"/>
          </w:tcPr>
          <w:p>
            <w:r/>
            <w:r>
              <w:t>02.12.26</w:t>
            </w:r>
          </w:p>
        </w:tc>
        <w:tc>
          <w:tcPr>
            <w:tcW w:type="dxa" w:w="2340"/>
          </w:tcPr>
          <w:p>
            <w:r/>
            <w:r>
              <w:t>Blueprint iterations: agent gateway, capability tokens, two-step high-risk, governance levels</w:t>
            </w:r>
          </w:p>
        </w:tc>
      </w:tr>
    </w:tbl>
    <w:p/>
    <w:p/>
    <w:p>
      <w:pPr>
        <w:pBdr>
          <w:bottom w:val="single" w:sz="6" w:space="1" w:color="BFBFBF"/>
        </w:pBdr>
      </w:pPr>
    </w:p>
    <w:p/>
    <w:p>
      <w:pPr>
        <w:pStyle w:val="Heading2"/>
      </w:pPr>
      <w:r>
        <w:t>0. Purpose</w:t>
      </w:r>
    </w:p>
    <w:p/>
    <w:p>
      <w:r>
        <w:t>This document defines how Consentext enforces consent, authorization, and recipient verification at request time for every access attempt.</w:t>
      </w:r>
    </w:p>
    <w:p/>
    <w:p>
      <w:pPr>
        <w:pStyle w:val="Heading2"/>
      </w:pPr>
      <w:r>
        <w:t>1. Non-Negotiable Principles</w:t>
      </w:r>
    </w:p>
    <w:p/>
    <w:p>
      <w:pPr>
        <w:pStyle w:val="ListBullet"/>
      </w:pPr>
      <w:r/>
      <w:r>
        <w:rPr>
          <w:b/>
        </w:rPr>
        <w:t>Request-time enforcement:</w:t>
      </w:r>
      <w:r>
        <w:t xml:space="preserve"> Evaluate policy on every access attempt (no "trust once, reuse forever")</w:t>
      </w:r>
    </w:p>
    <w:p>
      <w:pPr>
        <w:pStyle w:val="ListBullet"/>
      </w:pPr>
      <w:r/>
      <w:r>
        <w:rPr>
          <w:b/>
        </w:rPr>
        <w:t>Fail closed:</w:t>
      </w:r>
      <w:r>
        <w:t xml:space="preserve"> If any check fails or data is missing, deny</w:t>
      </w:r>
    </w:p>
    <w:p>
      <w:pPr>
        <w:pStyle w:val="ListBullet"/>
      </w:pPr>
      <w:r/>
      <w:r>
        <w:rPr>
          <w:b/>
        </w:rPr>
        <w:t>No implicit access:</w:t>
      </w:r>
      <w:r>
        <w:t xml:space="preserve"> All outbound access must map to an explicit share and policy</w:t>
      </w:r>
    </w:p>
    <w:p>
      <w:pPr>
        <w:pStyle w:val="ListBullet"/>
      </w:pPr>
      <w:r/>
      <w:r>
        <w:rPr>
          <w:b/>
        </w:rPr>
        <w:t>Minimal disclosure:</w:t>
      </w:r>
      <w:r>
        <w:t xml:space="preserve"> Only return the minimum set of data required by the share scope</w:t>
      </w:r>
    </w:p>
    <w:p>
      <w:pPr>
        <w:pStyle w:val="ListBullet"/>
      </w:pPr>
      <w:r/>
      <w:r>
        <w:rPr>
          <w:b/>
        </w:rPr>
        <w:t>Revoke = future access denied:</w:t>
      </w:r>
      <w:r>
        <w:t xml:space="preserve"> Revocation blocks future access immediately</w:t>
      </w:r>
    </w:p>
    <w:p>
      <w:pPr>
        <w:pStyle w:val="ListBullet"/>
      </w:pPr>
      <w:r/>
      <w:r>
        <w:rPr>
          <w:b/>
        </w:rPr>
        <w:t>No PHI in logs:</w:t>
      </w:r>
      <w:r>
        <w:t xml:space="preserve"> Enforcement must emit audit events that contain summaries only</w:t>
      </w:r>
    </w:p>
    <w:p/>
    <w:p>
      <w:pPr>
        <w:pStyle w:val="Heading2"/>
      </w:pPr>
      <w:r>
        <w:t>2. Enforcement Surfaces</w:t>
      </w:r>
    </w:p>
    <w:p/>
    <w:p>
      <w:r>
        <w:t>Enforcement must exist at three layers. A denial at any layer blocks access and emits an audit event.</w:t>
      </w:r>
    </w:p>
    <w:p/>
    <w:p>
      <w:pPr>
        <w:pStyle w:val="Heading3"/>
      </w:pPr>
      <w:r>
        <w:t>2.1 API Gateway / Edge</w:t>
      </w:r>
    </w:p>
    <w:p>
      <w:pPr>
        <w:pStyle w:val="ListBullet"/>
      </w:pPr>
      <w:r>
        <w:t>Authenticate caller (AuthN) for API consumer endpoints</w:t>
      </w:r>
    </w:p>
    <w:p>
      <w:pPr>
        <w:pStyle w:val="ListBullet"/>
      </w:pPr>
      <w:r>
        <w:t>Validate request shape and required identifiers</w:t>
      </w:r>
    </w:p>
    <w:p>
      <w:pPr>
        <w:pStyle w:val="ListBullet"/>
      </w:pPr>
      <w:r>
        <w:t>Apply basic rate limits (tenant/recipient/share)</w:t>
      </w:r>
    </w:p>
    <w:p/>
    <w:p>
      <w:pPr>
        <w:pStyle w:val="Heading3"/>
      </w:pPr>
      <w:r>
        <w:t>2.2 Policy Enforcement Service (Authoritative)</w:t>
      </w:r>
    </w:p>
    <w:p>
      <w:pPr>
        <w:pStyle w:val="ListBullet"/>
      </w:pPr>
      <w:r>
        <w:t>Validate share and policy objects</w:t>
      </w:r>
    </w:p>
    <w:p>
      <w:pPr>
        <w:pStyle w:val="ListBullet"/>
      </w:pPr>
      <w:r>
        <w:t>Evaluate scope and recipient constraints</w:t>
      </w:r>
    </w:p>
    <w:p>
      <w:pPr>
        <w:pStyle w:val="ListBullet"/>
      </w:pPr>
      <w:r>
        <w:t>Decide allow/deny with a reason code</w:t>
      </w:r>
    </w:p>
    <w:p>
      <w:pPr>
        <w:pStyle w:val="ListBullet"/>
      </w:pPr>
      <w:r>
        <w:t>Generate only the allowed context</w:t>
      </w:r>
    </w:p>
    <w:p/>
    <w:p>
      <w:pPr>
        <w:pStyle w:val="Heading3"/>
      </w:pPr>
      <w:r>
        <w:t>2.3 Storage Access Layer (Vault Payload Gate)</w:t>
      </w:r>
    </w:p>
    <w:p>
      <w:pPr>
        <w:pStyle w:val="ListBullet"/>
      </w:pPr>
      <w:r>
        <w:t>Vault payload reads mediated by internal service identity only</w:t>
      </w:r>
    </w:p>
    <w:p>
      <w:pPr>
        <w:pStyle w:val="ListBullet"/>
      </w:pPr>
      <w:r>
        <w:t>Direct DB/object-store reads from edge services prohibited</w:t>
      </w:r>
    </w:p>
    <w:p>
      <w:pPr>
        <w:pStyle w:val="ListBullet"/>
      </w:pPr>
      <w:r>
        <w:t xml:space="preserve">Data fetched using opaque </w:t>
      </w:r>
      <w:r>
        <w:rPr>
          <w:rFonts w:ascii="Courier New" w:hAnsi="Courier New"/>
          <w:sz w:val="20"/>
        </w:rPr>
        <w:t>storage_ref</w:t>
      </w:r>
      <w:r>
        <w:t>, never by user-provided keys</w:t>
      </w:r>
    </w:p>
    <w:p/>
    <w:p>
      <w:pPr>
        <w:pStyle w:val="Heading2"/>
      </w:pPr>
      <w:r>
        <w:t>3. Request-Time Decision Procedure</w:t>
      </w:r>
    </w:p>
    <w:p/>
    <w:p>
      <w:r>
        <w:t>Every access attempt evaluates these checks in order. If any fails, deny and emit audit event.</w:t>
      </w:r>
    </w:p>
    <w:p/>
    <w:p>
      <w:pPr>
        <w:pStyle w:val="Heading3"/>
      </w:pPr>
      <w:r>
        <w:t>3.1 Baseline Checks</w:t>
      </w:r>
    </w:p>
    <w:p>
      <w:pPr>
        <w:pStyle w:val="ListNumber"/>
      </w:pPr>
      <w:r>
        <w:t>Share exists (share_id/share_token resolves)</w:t>
      </w:r>
    </w:p>
    <w:p>
      <w:pPr>
        <w:pStyle w:val="ListNumber"/>
      </w:pPr>
      <w:r>
        <w:t>Share status is active (not retired/inactive)</w:t>
      </w:r>
    </w:p>
    <w:p>
      <w:pPr>
        <w:pStyle w:val="ListNumber"/>
      </w:pPr>
      <w:r>
        <w:t>Share not expired (now &lt;= expires_at)</w:t>
      </w:r>
    </w:p>
    <w:p>
      <w:pPr>
        <w:pStyle w:val="ListNumber"/>
      </w:pPr>
      <w:r>
        <w:t>Share not revoked</w:t>
      </w:r>
    </w:p>
    <w:p>
      <w:pPr>
        <w:pStyle w:val="ListNumber"/>
      </w:pPr>
      <w:r>
        <w:t>Recipient matches share (prevents token reuse across recipients)</w:t>
      </w:r>
    </w:p>
    <w:p>
      <w:pPr>
        <w:pStyle w:val="ListNumber"/>
      </w:pPr>
      <w:r>
        <w:t>Requested scope is subset of share scope (pods, categories, time window, granularity)</w:t>
      </w:r>
    </w:p>
    <w:p>
      <w:pPr>
        <w:pStyle w:val="ListNumber"/>
      </w:pPr>
      <w:r>
        <w:t>Recipient-type guardrails enforced (AI export blocks identity pod and records pod)</w:t>
      </w:r>
    </w:p>
    <w:p>
      <w:pPr>
        <w:pStyle w:val="ListNumber"/>
      </w:pPr>
      <w:r>
        <w:t>Rate limits and quotas evaluated</w:t>
      </w:r>
    </w:p>
    <w:p>
      <w:pPr>
        <w:pStyle w:val="ListNumber"/>
      </w:pPr>
      <w:r>
        <w:t>Internal correctness checks (policy_version, storage_ref, environment separation)</w:t>
      </w:r>
    </w:p>
    <w:p/>
    <w:p>
      <w:pPr>
        <w:pStyle w:val="Heading3"/>
      </w:pPr>
      <w:r>
        <w:t>3.2 Recipient Verification (API Consumers)</w:t>
      </w:r>
    </w:p>
    <w:p>
      <w:pPr>
        <w:pStyle w:val="ListBullet"/>
      </w:pPr>
      <w:r>
        <w:t>Recipient must pass verification (MVP: JWT; optional mTLS per recipient)</w:t>
      </w:r>
    </w:p>
    <w:p>
      <w:pPr>
        <w:pStyle w:val="ListBullet"/>
      </w:pPr>
      <w:r>
        <w:t>If verification fails, deny without fetching any Vault payloads</w:t>
      </w:r>
    </w:p>
    <w:p/>
    <w:p>
      <w:pPr>
        <w:pStyle w:val="Heading3"/>
      </w:pPr>
      <w:r>
        <w:t>3.3 AI Export Specifics</w:t>
      </w:r>
    </w:p>
    <w:p>
      <w:pPr>
        <w:pStyle w:val="ListBullet"/>
      </w:pPr>
      <w:r>
        <w:t>AI export is user-mediated (Consentext provides bundle, does not transmit to AI provider)</w:t>
      </w:r>
    </w:p>
    <w:p>
      <w:pPr>
        <w:pStyle w:val="ListBullet"/>
      </w:pPr>
      <w:r>
        <w:t>Enforcement still applies scope rules and pod guardrails before generating any bundle</w:t>
      </w:r>
    </w:p>
    <w:p>
      <w:pPr>
        <w:pStyle w:val="ListBullet"/>
      </w:pPr>
      <w:r>
        <w:t>If raw biomarker documents cannot be made safe for AI export: omit raw docs and include structured values only, or deny with clear UX message</w:t>
      </w:r>
    </w:p>
    <w:p/>
    <w:p>
      <w:pPr>
        <w:pStyle w:val="Heading2"/>
      </w:pPr>
      <w:r>
        <w:t>4. Reason Codes (Minimum Set)</w:t>
      </w:r>
    </w:p>
    <w:p/>
    <w:tbl>
      <w:tblPr>
        <w:tblStyle w:val="TableGrid"/>
        <w:tblW w:type="auto" w:w="0"/>
        <w:tblLook w:firstColumn="1" w:firstRow="1" w:lastColumn="0" w:lastRow="0" w:noHBand="0" w:noVBand="1" w:val="04A0"/>
      </w:tblPr>
      <w:tblGrid>
        <w:gridCol w:w="4680"/>
        <w:gridCol w:w="4680"/>
      </w:tblGrid>
      <w:tr>
        <w:tc>
          <w:tcPr>
            <w:tcW w:type="dxa" w:w="4680"/>
          </w:tcPr>
          <w:p>
            <w:r>
              <w:rPr>
                <w:b/>
              </w:rPr>
            </w:r>
            <w:r>
              <w:rPr>
                <w:b/>
              </w:rPr>
              <w:t>Code</w:t>
            </w:r>
          </w:p>
        </w:tc>
        <w:tc>
          <w:tcPr>
            <w:tcW w:type="dxa" w:w="4680"/>
          </w:tcPr>
          <w:p>
            <w:r>
              <w:rPr>
                <w:b/>
              </w:rPr>
            </w:r>
            <w:r>
              <w:rPr>
                <w:b/>
              </w:rPr>
              <w:t>Meaning</w:t>
            </w:r>
          </w:p>
        </w:tc>
      </w:tr>
      <w:tr>
        <w:tc>
          <w:tcPr>
            <w:tcW w:type="dxa" w:w="4680"/>
          </w:tcPr>
          <w:p>
            <w:r/>
            <w:r/>
            <w:r>
              <w:rPr>
                <w:rFonts w:ascii="Courier New" w:hAnsi="Courier New"/>
                <w:sz w:val="20"/>
              </w:rPr>
              <w:t>share_not_found</w:t>
            </w:r>
            <w:r/>
          </w:p>
        </w:tc>
        <w:tc>
          <w:tcPr>
            <w:tcW w:type="dxa" w:w="4680"/>
          </w:tcPr>
          <w:p>
            <w:r/>
            <w:r>
              <w:t>No matching share</w:t>
            </w:r>
          </w:p>
        </w:tc>
      </w:tr>
      <w:tr>
        <w:tc>
          <w:tcPr>
            <w:tcW w:type="dxa" w:w="4680"/>
          </w:tcPr>
          <w:p>
            <w:r/>
            <w:r/>
            <w:r>
              <w:rPr>
                <w:rFonts w:ascii="Courier New" w:hAnsi="Courier New"/>
                <w:sz w:val="20"/>
              </w:rPr>
              <w:t>share_inactive</w:t>
            </w:r>
            <w:r/>
          </w:p>
        </w:tc>
        <w:tc>
          <w:tcPr>
            <w:tcW w:type="dxa" w:w="4680"/>
          </w:tcPr>
          <w:p>
            <w:r/>
            <w:r>
              <w:t>Share is not in active state</w:t>
            </w:r>
          </w:p>
        </w:tc>
      </w:tr>
      <w:tr>
        <w:tc>
          <w:tcPr>
            <w:tcW w:type="dxa" w:w="4680"/>
          </w:tcPr>
          <w:p>
            <w:r/>
            <w:r/>
            <w:r>
              <w:rPr>
                <w:rFonts w:ascii="Courier New" w:hAnsi="Courier New"/>
                <w:sz w:val="20"/>
              </w:rPr>
              <w:t>share_expired</w:t>
            </w:r>
            <w:r/>
          </w:p>
        </w:tc>
        <w:tc>
          <w:tcPr>
            <w:tcW w:type="dxa" w:w="4680"/>
          </w:tcPr>
          <w:p>
            <w:r/>
            <w:r>
              <w:t>Share past expiry date</w:t>
            </w:r>
          </w:p>
        </w:tc>
      </w:tr>
      <w:tr>
        <w:tc>
          <w:tcPr>
            <w:tcW w:type="dxa" w:w="4680"/>
          </w:tcPr>
          <w:p>
            <w:r/>
            <w:r/>
            <w:r>
              <w:rPr>
                <w:rFonts w:ascii="Courier New" w:hAnsi="Courier New"/>
                <w:sz w:val="20"/>
              </w:rPr>
              <w:t>share_revoked</w:t>
            </w:r>
            <w:r/>
          </w:p>
        </w:tc>
        <w:tc>
          <w:tcPr>
            <w:tcW w:type="dxa" w:w="4680"/>
          </w:tcPr>
          <w:p>
            <w:r/>
            <w:r>
              <w:t>Share was revoked</w:t>
            </w:r>
          </w:p>
        </w:tc>
      </w:tr>
      <w:tr>
        <w:tc>
          <w:tcPr>
            <w:tcW w:type="dxa" w:w="4680"/>
          </w:tcPr>
          <w:p>
            <w:r/>
            <w:r/>
            <w:r>
              <w:rPr>
                <w:rFonts w:ascii="Courier New" w:hAnsi="Courier New"/>
                <w:sz w:val="20"/>
              </w:rPr>
              <w:t>scope_mismatch</w:t>
            </w:r>
            <w:r/>
          </w:p>
        </w:tc>
        <w:tc>
          <w:tcPr>
            <w:tcW w:type="dxa" w:w="4680"/>
          </w:tcPr>
          <w:p>
            <w:r/>
            <w:r>
              <w:t>Requested data outside share scope</w:t>
            </w:r>
          </w:p>
        </w:tc>
      </w:tr>
      <w:tr>
        <w:tc>
          <w:tcPr>
            <w:tcW w:type="dxa" w:w="4680"/>
          </w:tcPr>
          <w:p>
            <w:r/>
            <w:r/>
            <w:r>
              <w:rPr>
                <w:rFonts w:ascii="Courier New" w:hAnsi="Courier New"/>
                <w:sz w:val="20"/>
              </w:rPr>
              <w:t>pod_disallowed_for_recipient</w:t>
            </w:r>
            <w:r/>
          </w:p>
        </w:tc>
        <w:tc>
          <w:tcPr>
            <w:tcW w:type="dxa" w:w="4680"/>
          </w:tcPr>
          <w:p>
            <w:r/>
            <w:r>
              <w:t>Pod type blocked for this recipient type</w:t>
            </w:r>
          </w:p>
        </w:tc>
      </w:tr>
      <w:tr>
        <w:tc>
          <w:tcPr>
            <w:tcW w:type="dxa" w:w="4680"/>
          </w:tcPr>
          <w:p>
            <w:r/>
            <w:r/>
            <w:r>
              <w:rPr>
                <w:rFonts w:ascii="Courier New" w:hAnsi="Courier New"/>
                <w:sz w:val="20"/>
              </w:rPr>
              <w:t>identifiers_disallowed</w:t>
            </w:r>
            <w:r/>
          </w:p>
        </w:tc>
        <w:tc>
          <w:tcPr>
            <w:tcW w:type="dxa" w:w="4680"/>
          </w:tcPr>
          <w:p>
            <w:r/>
            <w:r>
              <w:t>Identity fields blocked</w:t>
            </w:r>
          </w:p>
        </w:tc>
      </w:tr>
      <w:tr>
        <w:tc>
          <w:tcPr>
            <w:tcW w:type="dxa" w:w="4680"/>
          </w:tcPr>
          <w:p>
            <w:r/>
            <w:r/>
            <w:r>
              <w:rPr>
                <w:rFonts w:ascii="Courier New" w:hAnsi="Courier New"/>
                <w:sz w:val="20"/>
              </w:rPr>
              <w:t>records_disallowed_for_ai</w:t>
            </w:r>
            <w:r/>
          </w:p>
        </w:tc>
        <w:tc>
          <w:tcPr>
            <w:tcW w:type="dxa" w:w="4680"/>
          </w:tcPr>
          <w:p>
            <w:r/>
            <w:r>
              <w:t>Records pod blocked for AI export</w:t>
            </w:r>
          </w:p>
        </w:tc>
      </w:tr>
      <w:tr>
        <w:tc>
          <w:tcPr>
            <w:tcW w:type="dxa" w:w="4680"/>
          </w:tcPr>
          <w:p>
            <w:r/>
            <w:r/>
            <w:r>
              <w:rPr>
                <w:rFonts w:ascii="Courier New" w:hAnsi="Courier New"/>
                <w:sz w:val="20"/>
              </w:rPr>
              <w:t>biomarker_doc_not_safe_for_ai</w:t>
            </w:r>
            <w:r/>
          </w:p>
        </w:tc>
        <w:tc>
          <w:tcPr>
            <w:tcW w:type="dxa" w:w="4680"/>
          </w:tcPr>
          <w:p>
            <w:r/>
            <w:r>
              <w:t>Cannot safely share biomarker doc with AI</w:t>
            </w:r>
          </w:p>
        </w:tc>
      </w:tr>
      <w:tr>
        <w:tc>
          <w:tcPr>
            <w:tcW w:type="dxa" w:w="4680"/>
          </w:tcPr>
          <w:p>
            <w:r/>
            <w:r/>
            <w:r>
              <w:rPr>
                <w:rFonts w:ascii="Courier New" w:hAnsi="Courier New"/>
                <w:sz w:val="20"/>
              </w:rPr>
              <w:t>recipient_mismatch</w:t>
            </w:r>
            <w:r/>
          </w:p>
        </w:tc>
        <w:tc>
          <w:tcPr>
            <w:tcW w:type="dxa" w:w="4680"/>
          </w:tcPr>
          <w:p>
            <w:r/>
            <w:r>
              <w:t>Caller doesn't match share recipient</w:t>
            </w:r>
          </w:p>
        </w:tc>
      </w:tr>
      <w:tr>
        <w:tc>
          <w:tcPr>
            <w:tcW w:type="dxa" w:w="4680"/>
          </w:tcPr>
          <w:p>
            <w:r/>
            <w:r/>
            <w:r>
              <w:rPr>
                <w:rFonts w:ascii="Courier New" w:hAnsi="Courier New"/>
                <w:sz w:val="20"/>
              </w:rPr>
              <w:t>recipient_verification_failed</w:t>
            </w:r>
            <w:r/>
          </w:p>
        </w:tc>
        <w:tc>
          <w:tcPr>
            <w:tcW w:type="dxa" w:w="4680"/>
          </w:tcPr>
          <w:p>
            <w:r/>
            <w:r>
              <w:t>Verification check failed</w:t>
            </w:r>
          </w:p>
        </w:tc>
      </w:tr>
      <w:tr>
        <w:tc>
          <w:tcPr>
            <w:tcW w:type="dxa" w:w="4680"/>
          </w:tcPr>
          <w:p>
            <w:r/>
            <w:r/>
            <w:r>
              <w:rPr>
                <w:rFonts w:ascii="Courier New" w:hAnsi="Courier New"/>
                <w:sz w:val="20"/>
              </w:rPr>
              <w:t>auth_failed</w:t>
            </w:r>
            <w:r/>
          </w:p>
        </w:tc>
        <w:tc>
          <w:tcPr>
            <w:tcW w:type="dxa" w:w="4680"/>
          </w:tcPr>
          <w:p>
            <w:r/>
            <w:r>
              <w:t>Authentication failed</w:t>
            </w:r>
          </w:p>
        </w:tc>
      </w:tr>
      <w:tr>
        <w:tc>
          <w:tcPr>
            <w:tcW w:type="dxa" w:w="4680"/>
          </w:tcPr>
          <w:p>
            <w:r/>
            <w:r/>
            <w:r>
              <w:rPr>
                <w:rFonts w:ascii="Courier New" w:hAnsi="Courier New"/>
                <w:sz w:val="20"/>
              </w:rPr>
              <w:t>rate_limited</w:t>
            </w:r>
            <w:r/>
          </w:p>
        </w:tc>
        <w:tc>
          <w:tcPr>
            <w:tcW w:type="dxa" w:w="4680"/>
          </w:tcPr>
          <w:p>
            <w:r/>
            <w:r>
              <w:t>Rate limit exceeded</w:t>
            </w:r>
          </w:p>
        </w:tc>
      </w:tr>
      <w:tr>
        <w:tc>
          <w:tcPr>
            <w:tcW w:type="dxa" w:w="4680"/>
          </w:tcPr>
          <w:p>
            <w:r/>
            <w:r/>
            <w:r>
              <w:rPr>
                <w:rFonts w:ascii="Courier New" w:hAnsi="Courier New"/>
                <w:sz w:val="20"/>
              </w:rPr>
              <w:t>quota_exceeded</w:t>
            </w:r>
            <w:r/>
          </w:p>
        </w:tc>
        <w:tc>
          <w:tcPr>
            <w:tcW w:type="dxa" w:w="4680"/>
          </w:tcPr>
          <w:p>
            <w:r/>
            <w:r>
              <w:t>Access quota exhausted</w:t>
            </w:r>
          </w:p>
        </w:tc>
      </w:tr>
      <w:tr>
        <w:tc>
          <w:tcPr>
            <w:tcW w:type="dxa" w:w="4680"/>
          </w:tcPr>
          <w:p>
            <w:r/>
            <w:r/>
            <w:r>
              <w:rPr>
                <w:rFonts w:ascii="Courier New" w:hAnsi="Courier New"/>
                <w:sz w:val="20"/>
              </w:rPr>
              <w:t>internal_error_fail_closed</w:t>
            </w:r>
            <w:r/>
          </w:p>
        </w:tc>
        <w:tc>
          <w:tcPr>
            <w:tcW w:type="dxa" w:w="4680"/>
          </w:tcPr>
          <w:p>
            <w:r/>
            <w:r>
              <w:t>Internal error, failing closed</w:t>
            </w:r>
          </w:p>
        </w:tc>
      </w:tr>
    </w:tbl>
    <w:p/>
    <w:p/>
    <w:p>
      <w:pPr>
        <w:pStyle w:val="Heading2"/>
      </w:pPr>
      <w:r>
        <w:t>5. Enforcement Outputs</w:t>
      </w:r>
    </w:p>
    <w:p/>
    <w:p>
      <w:r/>
      <w:r>
        <w:rPr>
          <w:b/>
        </w:rPr>
        <w:t>Allow:</w:t>
      </w:r>
      <w:r>
        <w:t xml:space="preserve"> Issue allow decision audit event + synchronous response containing permitted context or authorization for async bundle generation job.</w:t>
      </w:r>
    </w:p>
    <w:p/>
    <w:p>
      <w:r/>
      <w:r>
        <w:rPr>
          <w:b/>
        </w:rPr>
        <w:t>Deny:</w:t>
      </w:r>
      <w:r>
        <w:t xml:space="preserve"> Return clean, non-leaky error response (no sensitive details) + emit deny audit event with reason_code and user-facing summary.</w:t>
      </w:r>
    </w:p>
    <w:p/>
    <w:p>
      <w:pPr>
        <w:pStyle w:val="Heading2"/>
      </w:pPr>
      <w:r>
        <w:t>6. Edge Cases</w:t>
      </w:r>
    </w:p>
    <w:p/>
    <w:p>
      <w:pPr>
        <w:pStyle w:val="ListBullet"/>
      </w:pPr>
      <w:r/>
      <w:r>
        <w:rPr>
          <w:b/>
        </w:rPr>
        <w:t>Revocation race:</w:t>
      </w:r>
      <w:r>
        <w:t xml:space="preserve"> If share is revoked while request is in flight, request-time evaluation must observe revocation. If ambiguity, fail closed.</w:t>
      </w:r>
    </w:p>
    <w:p>
      <w:pPr>
        <w:pStyle w:val="ListBullet"/>
      </w:pPr>
      <w:r/>
      <w:r>
        <w:rPr>
          <w:b/>
        </w:rPr>
        <w:t>Caching:</w:t>
      </w:r>
      <w:r>
        <w:t xml:space="preserve"> Prepared context caches must be invalidated on revoke/expire and never bypass request-time enforcement.</w:t>
      </w:r>
    </w:p>
    <w:p>
      <w:pPr>
        <w:pStyle w:val="ListBullet"/>
      </w:pPr>
      <w:r/>
      <w:r>
        <w:rPr>
          <w:b/>
        </w:rPr>
        <w:t>Credential reuse:</w:t>
      </w:r>
      <w:r>
        <w:t xml:space="preserve"> Share tokens may not be reused across recipients; enforce recipient binding.</w:t>
      </w:r>
    </w:p>
    <w:p>
      <w:pPr>
        <w:pStyle w:val="ListBullet"/>
      </w:pPr>
      <w:r/>
      <w:r>
        <w:rPr>
          <w:b/>
        </w:rPr>
        <w:t>Environment separation:</w:t>
      </w:r>
      <w:r>
        <w:t xml:space="preserve"> Dev/staging/prod use separate secrets and storage.</w:t>
      </w:r>
    </w:p>
    <w:p/>
    <w:p>
      <w:pPr>
        <w:pStyle w:val="Heading2"/>
      </w:pPr>
      <w:r>
        <w:t>7. Verification (Acceptance Checks)</w:t>
      </w:r>
    </w:p>
    <w:p/>
    <w:p>
      <w:pPr>
        <w:pStyle w:val="ListBullet"/>
      </w:pPr>
      <w:r>
        <w:t>[ ] Valid share allows access within scope</w:t>
      </w:r>
    </w:p>
    <w:p>
      <w:pPr>
        <w:pStyle w:val="ListBullet"/>
      </w:pPr>
      <w:r>
        <w:t>[ ] Expired share denies (share_expired)</w:t>
      </w:r>
    </w:p>
    <w:p>
      <w:pPr>
        <w:pStyle w:val="ListBullet"/>
      </w:pPr>
      <w:r>
        <w:t>[ ] Revoked share denies (share_revoked)</w:t>
      </w:r>
    </w:p>
    <w:p>
      <w:pPr>
        <w:pStyle w:val="ListBullet"/>
      </w:pPr>
      <w:r>
        <w:t>[ ] Scope mismatch denies (scope_mismatch)</w:t>
      </w:r>
    </w:p>
    <w:p>
      <w:pPr>
        <w:pStyle w:val="ListBullet"/>
      </w:pPr>
      <w:r>
        <w:t>[ ] AI export records pod attempt denies (records_disallowed_for_ai)</w:t>
      </w:r>
    </w:p>
    <w:p>
      <w:pPr>
        <w:pStyle w:val="ListBullet"/>
      </w:pPr>
      <w:r>
        <w:t>[ ] Recipient verification failure denies</w:t>
      </w:r>
    </w:p>
    <w:p>
      <w:pPr>
        <w:pStyle w:val="ListBullet"/>
      </w:pPr>
      <w:r>
        <w:t>[ ] Audit events emitted for allow + deny with correlation_id</w:t>
      </w:r>
    </w:p>
    <w:p/>
    <w:p>
      <w:pPr>
        <w:pBdr>
          <w:bottom w:val="single" w:sz="6" w:space="1" w:color="BFBFBF"/>
        </w:pBdr>
      </w:pPr>
    </w:p>
    <w:p/>
    <w:p>
      <w:pPr>
        <w:pStyle w:val="Heading2"/>
      </w:pPr>
      <w:r>
        <w:t>v2.0 Iteration — Blueprint Additions</w:t>
      </w:r>
    </w:p>
    <w:p/>
    <w:p>
      <w:pPr>
        <w:pStyle w:val="Heading3"/>
      </w:pPr>
      <w:r>
        <w:t>Agent Gateway as Enforcement Surface</w:t>
      </w:r>
    </w:p>
    <w:p/>
    <w:p>
      <w:r>
        <w:t>Per the Blueprint, add the Agent/API Gateway as a fourth enforcement surface. Agents authenticate as principals, requests go through the policy engine, and the gateway enforces rate limits and writes audit events. The gateway must treat all agent outputs as untrusted input. Threat model: assume prompt/tool injection and exfiltration attempts.</w:t>
      </w:r>
    </w:p>
    <w:p/>
    <w:p>
      <w:pPr>
        <w:pStyle w:val="Heading3"/>
      </w:pPr>
      <w:r>
        <w:t>Short-Lived Capability Tokens</w:t>
      </w:r>
    </w:p>
    <w:p/>
    <w:p>
      <w:r>
        <w:t>When access is granted, the enforcement service should issue a short-lived capability token (minutes/hours, not days) scoped to the specific share and request. Token binding ensures it only works from the authorized session/device. This replaces long-lived API keys.</w:t>
      </w:r>
    </w:p>
    <w:p/>
    <w:p>
      <w:pPr>
        <w:pStyle w:val="Heading3"/>
      </w:pPr>
      <w:r>
        <w:t>Two-Step High-Risk Access</w:t>
      </w:r>
    </w:p>
    <w:p/>
    <w:p>
      <w:r>
        <w:t>For requests classified as high-risk (raw data, identity fields, broad scope), enforce a two-step flow:</w:t>
      </w:r>
    </w:p>
    <w:p>
      <w:pPr>
        <w:pStyle w:val="ListNumber"/>
      </w:pPr>
      <w:r>
        <w:t>Agent/recipient requests access</w:t>
      </w:r>
    </w:p>
    <w:p>
      <w:pPr>
        <w:pStyle w:val="ListNumber"/>
      </w:pPr>
      <w:r>
        <w:t>User approves via notification</w:t>
      </w:r>
    </w:p>
    <w:p>
      <w:pPr>
        <w:pStyle w:val="ListNumber"/>
      </w:pPr>
      <w:r>
        <w:t>Short-lived capability token issued</w:t>
      </w:r>
    </w:p>
    <w:p/>
    <w:p>
      <w:r>
        <w:t>The agent cannot bypass this approval step. If the user does not respond within a configurable timeout, the request is denied.</w:t>
      </w:r>
    </w:p>
    <w:p/>
    <w:p>
      <w:pPr>
        <w:pStyle w:val="Heading3"/>
      </w:pPr>
      <w:r>
        <w:t>Governance Level Alignment</w:t>
      </w:r>
    </w:p>
    <w:p/>
    <w:p>
      <w:pPr>
        <w:pStyle w:val="ListBullet"/>
      </w:pPr>
      <w:r/>
      <w:r>
        <w:rPr>
          <w:b/>
        </w:rPr>
        <w:t>Level 1:</w:t>
      </w:r>
      <w:r>
        <w:t xml:space="preserve"> Coarse enforcement at share level (shipping target)</w:t>
      </w:r>
    </w:p>
    <w:p>
      <w:pPr>
        <w:pStyle w:val="ListBullet"/>
      </w:pPr>
      <w:r/>
      <w:r>
        <w:rPr>
          <w:b/>
        </w:rPr>
        <w:t>Level 2:</w:t>
      </w:r>
      <w:r>
        <w:t xml:space="preserve"> Purpose labels enforced, frequency limits per share/recipient (2026 target)</w:t>
      </w:r>
    </w:p>
    <w:p>
      <w:pPr>
        <w:pStyle w:val="ListBullet"/>
      </w:pPr>
      <w:r/>
      <w:r>
        <w:rPr>
          <w:b/>
        </w:rPr>
        <w:t>Level 3:</w:t>
      </w:r>
      <w:r>
        <w:t xml:space="preserve"> Field-level ABAC (future)</w:t>
      </w:r>
    </w:p>
    <w:p/>
    <w:p>
      <w:r>
        <w:t>Architecture must support adding purpose labels and frequency limits without rewriting the enforcement pipeline.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