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05 — Consent and Sharing Policy (Phase 3.75)</w:t>
      </w:r>
    </w:p>
    <w:p>
      <w:r/>
      <w:r>
        <w:rPr>
          <w:b/>
        </w:rPr>
        <w:t>Consentext Platform — Layer Vault Specification</w:t>
      </w:r>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Version</w:t>
            </w:r>
          </w:p>
        </w:tc>
        <w:tc>
          <w:tcPr>
            <w:tcW w:type="dxa" w:w="2340"/>
          </w:tcPr>
          <w:p>
            <w:r>
              <w:rPr>
                <w:b/>
                <w:sz w:val="20"/>
              </w:rPr>
              <w:t>Author</w:t>
            </w:r>
          </w:p>
        </w:tc>
        <w:tc>
          <w:tcPr>
            <w:tcW w:type="dxa" w:w="2340"/>
          </w:tcPr>
          <w:p>
            <w:r>
              <w:rPr>
                <w:b/>
                <w:sz w:val="20"/>
              </w:rPr>
              <w:t>Date</w:t>
            </w:r>
          </w:p>
        </w:tc>
        <w:tc>
          <w:tcPr>
            <w:tcW w:type="dxa" w:w="2340"/>
          </w:tcPr>
          <w:p>
            <w:r>
              <w:rPr>
                <w:b/>
                <w:sz w:val="20"/>
              </w:rPr>
              <w:t>Notes</w:t>
            </w:r>
          </w:p>
        </w:tc>
      </w:tr>
      <w:tr>
        <w:tc>
          <w:tcPr>
            <w:tcW w:type="dxa" w:w="2340"/>
          </w:tcPr>
          <w:p>
            <w:r>
              <w:rPr>
                <w:sz w:val="20"/>
              </w:rPr>
              <w:t>v1.0</w:t>
            </w:r>
          </w:p>
        </w:tc>
        <w:tc>
          <w:tcPr>
            <w:tcW w:type="dxa" w:w="2340"/>
          </w:tcPr>
          <w:p>
            <w:r>
              <w:rPr>
                <w:sz w:val="20"/>
              </w:rPr>
              <w:t>Phong</w:t>
            </w:r>
          </w:p>
        </w:tc>
        <w:tc>
          <w:tcPr>
            <w:tcW w:type="dxa" w:w="2340"/>
          </w:tcPr>
          <w:p>
            <w:r>
              <w:rPr>
                <w:sz w:val="20"/>
              </w:rPr>
              <w:t>02.04.26</w:t>
            </w:r>
          </w:p>
        </w:tc>
        <w:tc>
          <w:tcPr>
            <w:tcW w:type="dxa" w:w="2340"/>
          </w:tcPr>
          <w:p>
            <w:r>
              <w:rPr>
                <w:sz w:val="20"/>
              </w:rPr>
              <w:t>Initial draft (Phase 3.75)</w:t>
            </w:r>
          </w:p>
        </w:tc>
      </w:tr>
      <w:tr>
        <w:tc>
          <w:tcPr>
            <w:tcW w:type="dxa" w:w="2340"/>
          </w:tcPr>
          <w:p>
            <w:r>
              <w:rPr>
                <w:sz w:val="20"/>
              </w:rPr>
              <w:t>v2.0</w:t>
            </w:r>
          </w:p>
        </w:tc>
        <w:tc>
          <w:tcPr>
            <w:tcW w:type="dxa" w:w="2340"/>
          </w:tcPr>
          <w:p>
            <w:r>
              <w:rPr>
                <w:sz w:val="20"/>
              </w:rPr>
              <w:t>Huy Nguyen</w:t>
            </w:r>
          </w:p>
        </w:tc>
        <w:tc>
          <w:tcPr>
            <w:tcW w:type="dxa" w:w="2340"/>
          </w:tcPr>
          <w:p>
            <w:r>
              <w:rPr>
                <w:sz w:val="20"/>
              </w:rPr>
              <w:t>02.12.26</w:t>
            </w:r>
          </w:p>
        </w:tc>
        <w:tc>
          <w:tcPr>
            <w:tcW w:type="dxa" w:w="2340"/>
          </w:tcPr>
          <w:p>
            <w:r>
              <w:rPr>
                <w:sz w:val="20"/>
              </w:rPr>
              <w:t>Blueprint iterations: simple consent UX, purpose labels as enforcement primitive, consent posture modes, agent-specific consent</w:t>
            </w:r>
          </w:p>
        </w:tc>
      </w:tr>
      <w:tr>
        <w:tc>
          <w:tcPr>
            <w:tcW w:type="dxa" w:w="2340"/>
          </w:tcPr>
          <w:p>
            <w:r>
              <w:rPr>
                <w:sz w:val="20"/>
              </w:rPr>
              <w:t>v3.0</w:t>
            </w:r>
          </w:p>
        </w:tc>
        <w:tc>
          <w:tcPr>
            <w:tcW w:type="dxa" w:w="2340"/>
          </w:tcPr>
          <w:p>
            <w:r>
              <w:rPr>
                <w:sz w:val="20"/>
              </w:rPr>
              <w:t>Huy Nguyen</w:t>
            </w:r>
          </w:p>
        </w:tc>
        <w:tc>
          <w:tcPr>
            <w:tcW w:type="dxa" w:w="2340"/>
          </w:tcPr>
          <w:p>
            <w:r>
              <w:rPr>
                <w:sz w:val="20"/>
              </w:rPr>
              <w:t>02.16.26</w:t>
            </w:r>
          </w:p>
        </w:tc>
        <w:tc>
          <w:tcPr>
            <w:tcW w:type="dxa" w:w="2340"/>
          </w:tcPr>
          <w:p>
            <w:r>
              <w:rPr>
                <w:sz w:val="20"/>
              </w:rPr>
              <w:t>HIPAA compliance: Safe Harbor 18 identifiers, HIPAA individual rights mapping, minimum necessary standard</w:t>
            </w:r>
          </w:p>
        </w:tc>
      </w:tr>
    </w:tbl>
    <w:p/>
    <w:p>
      <w:r>
        <w:t>____________________________________________________________</w:t>
      </w:r>
    </w:p>
    <w:p>
      <w:pPr>
        <w:pStyle w:val="Heading2"/>
      </w:pPr>
      <w:r>
        <w:t>0. Purpose</w:t>
      </w:r>
    </w:p>
    <w:p>
      <w:r>
        <w:t>This document defines the authoritative consent policy for outbound context sharing in Phase 3.75:</w:t>
      </w:r>
    </w:p>
    <w:p>
      <w:pPr>
        <w:pStyle w:val="ListBullet"/>
      </w:pPr>
      <w:r>
        <w:t>how consent is captured in UX,</w:t>
      </w:r>
    </w:p>
    <w:p>
      <w:pPr>
        <w:pStyle w:val="ListBullet"/>
      </w:pPr>
      <w:r>
        <w:t>how it is represented in data structures,</w:t>
      </w:r>
    </w:p>
    <w:p>
      <w:pPr>
        <w:pStyle w:val="ListBullet"/>
      </w:pPr>
      <w:r>
        <w:t>how it is enforced at request time,</w:t>
      </w:r>
    </w:p>
    <w:p>
      <w:pPr>
        <w:pStyle w:val="ListBullet"/>
      </w:pPr>
      <w:r>
        <w:t>and how it is audited.</w:t>
      </w:r>
    </w:p>
    <w:p>
      <w:r>
        <w:t>Consentext is not an AI system. This policy must not introduce reasoning, inference, insights, recommendations, diagnostics, prompt generation, or model orchestration.</w:t>
      </w:r>
    </w:p>
    <w:p>
      <w:pPr>
        <w:pStyle w:val="Heading2"/>
      </w:pPr>
      <w:r>
        <w:t>1. Scope</w:t>
      </w:r>
    </w:p>
    <w:p>
      <w:r/>
      <w:r>
        <w:rPr>
          <w:b/>
        </w:rPr>
        <w:t>Applies to:</w:t>
      </w:r>
      <w:r/>
    </w:p>
    <w:p>
      <w:pPr>
        <w:pStyle w:val="ListBullet"/>
      </w:pPr>
      <w:r>
        <w:t>All share creation UX flows</w:t>
      </w:r>
    </w:p>
    <w:p>
      <w:pPr>
        <w:pStyle w:val="ListBullet"/>
      </w:pPr>
      <w:r>
        <w:t>All context generation pipelines</w:t>
      </w:r>
    </w:p>
    <w:p>
      <w:pPr>
        <w:pStyle w:val="ListBullet"/>
      </w:pPr>
      <w:r>
        <w:t>All download/fetch endpoints</w:t>
      </w:r>
    </w:p>
    <w:p>
      <w:pPr>
        <w:pStyle w:val="ListBullet"/>
      </w:pPr>
      <w:r>
        <w:t>All recipients (AI-labeled shares, API consumers)</w:t>
      </w:r>
    </w:p>
    <w:p>
      <w:r/>
      <w:r>
        <w:rPr>
          <w:b/>
        </w:rPr>
        <w:t>Out of scope (Phase 3.75):</w:t>
      </w:r>
      <w:r/>
    </w:p>
    <w:p>
      <w:pPr>
        <w:pStyle w:val="ListBullet"/>
      </w:pPr>
      <w:r>
        <w:t>Clinics/portals/hospitals production integrations (placeholder only)</w:t>
      </w:r>
    </w:p>
    <w:p>
      <w:pPr>
        <w:pStyle w:val="ListBullet"/>
      </w:pPr>
      <w:r>
        <w:t>Any "insight" generation or analytics</w:t>
      </w:r>
    </w:p>
    <w:p>
      <w:pPr>
        <w:pStyle w:val="Heading2"/>
      </w:pPr>
      <w:r>
        <w:t>2. Actors and Trust Boundaries</w:t>
      </w:r>
    </w:p>
    <w:p>
      <w:r/>
      <w:r>
        <w:rPr>
          <w:b/>
        </w:rPr>
        <w:t>Actors:</w:t>
      </w:r>
      <w:r/>
    </w:p>
    <w:p>
      <w:pPr>
        <w:pStyle w:val="ListBullet"/>
      </w:pPr>
      <w:r/>
      <w:r>
        <w:rPr>
          <w:b/>
        </w:rPr>
        <w:t>User</w:t>
      </w:r>
      <w:r>
        <w:t xml:space="preserve"> (data owner)</w:t>
      </w:r>
    </w:p>
    <w:p>
      <w:pPr>
        <w:pStyle w:val="ListBullet"/>
      </w:pPr>
      <w:r/>
      <w:r>
        <w:rPr>
          <w:b/>
        </w:rPr>
        <w:t>Consentext</w:t>
      </w:r>
      <w:r>
        <w:t xml:space="preserve"> (vault + policy enforcement)</w:t>
      </w:r>
    </w:p>
    <w:p>
      <w:pPr>
        <w:pStyle w:val="ListBullet"/>
      </w:pPr>
      <w:r/>
      <w:r>
        <w:rPr>
          <w:b/>
        </w:rPr>
        <w:t>Recipient</w:t>
      </w:r>
      <w:r>
        <w:t xml:space="preserve"> (API consumer) — system-to-system fetch</w:t>
      </w:r>
    </w:p>
    <w:p>
      <w:pPr>
        <w:pStyle w:val="ListBullet"/>
      </w:pPr>
      <w:r/>
      <w:r>
        <w:rPr>
          <w:b/>
        </w:rPr>
        <w:t>AI provider</w:t>
      </w:r>
      <w:r>
        <w:t xml:space="preserve"> (user-mediated export only; Consentext does not send directly)</w:t>
      </w:r>
    </w:p>
    <w:p>
      <w:r/>
      <w:r>
        <w:rPr>
          <w:b/>
        </w:rPr>
        <w:t>Trust boundaries:</w:t>
      </w:r>
      <w:r/>
    </w:p>
    <w:p>
      <w:pPr>
        <w:pStyle w:val="ListBullet"/>
      </w:pPr>
      <w:r>
        <w:t>Consentext is authoritative for access control.</w:t>
      </w:r>
    </w:p>
    <w:p>
      <w:pPr>
        <w:pStyle w:val="ListBullet"/>
      </w:pPr>
      <w:r>
        <w:t>Recipients are untrusted unless verified by recipient auth policy.</w:t>
      </w:r>
    </w:p>
    <w:p>
      <w:pPr>
        <w:pStyle w:val="ListBullet"/>
      </w:pPr>
      <w:r>
        <w:t>User-mediated export: Consentext controls what the bundle contains; user controls what they upload externally.</w:t>
      </w:r>
    </w:p>
    <w:p>
      <w:pPr>
        <w:pStyle w:val="Heading2"/>
      </w:pPr>
      <w:r>
        <w:t>3. Pod Model (Data Partitioning)</w:t>
      </w:r>
    </w:p>
    <w:p>
      <w:r>
        <w:t>Consentext stores data in policy-partitioned Pods.</w:t>
      </w:r>
    </w:p>
    <w:p>
      <w:pPr>
        <w:pStyle w:val="Heading3"/>
      </w:pPr>
      <w:r>
        <w:t>Pods (MVP)</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Pod</w:t>
            </w:r>
          </w:p>
        </w:tc>
        <w:tc>
          <w:tcPr>
            <w:tcW w:type="dxa" w:w="4680"/>
          </w:tcPr>
          <w:p>
            <w:r>
              <w:rPr>
                <w:b/>
                <w:sz w:val="20"/>
              </w:rPr>
              <w:t>Contents</w:t>
            </w:r>
          </w:p>
        </w:tc>
      </w:tr>
      <w:tr>
        <w:tc>
          <w:tcPr>
            <w:tcW w:type="dxa" w:w="4680"/>
          </w:tcPr>
          <w:p>
            <w:r>
              <w:rPr>
                <w:sz w:val="20"/>
              </w:rPr>
              <w:t>**Identity Pod**</w:t>
            </w:r>
          </w:p>
        </w:tc>
        <w:tc>
          <w:tcPr>
            <w:tcW w:type="dxa" w:w="4680"/>
          </w:tcPr>
          <w:p>
            <w:r>
              <w:rPr>
                <w:sz w:val="20"/>
              </w:rPr>
              <w:t>User identifiers (minimized by default)</w:t>
            </w:r>
          </w:p>
        </w:tc>
      </w:tr>
      <w:tr>
        <w:tc>
          <w:tcPr>
            <w:tcW w:type="dxa" w:w="4680"/>
          </w:tcPr>
          <w:p>
            <w:r>
              <w:rPr>
                <w:sz w:val="20"/>
              </w:rPr>
              <w:t>**Wearables Pod**</w:t>
            </w:r>
          </w:p>
        </w:tc>
        <w:tc>
          <w:tcPr>
            <w:tcW w:type="dxa" w:w="4680"/>
          </w:tcPr>
          <w:p>
            <w:r>
              <w:rPr>
                <w:sz w:val="20"/>
              </w:rPr>
              <w:t>Wearable metrics + derived summaries</w:t>
            </w:r>
          </w:p>
        </w:tc>
      </w:tr>
      <w:tr>
        <w:tc>
          <w:tcPr>
            <w:tcW w:type="dxa" w:w="4680"/>
          </w:tcPr>
          <w:p>
            <w:r>
              <w:rPr>
                <w:sz w:val="20"/>
              </w:rPr>
              <w:t>**Biomarkers Pod**</w:t>
            </w:r>
          </w:p>
        </w:tc>
        <w:tc>
          <w:tcPr>
            <w:tcW w:type="dxa" w:w="4680"/>
          </w:tcPr>
          <w:p>
            <w:r>
              <w:rPr>
                <w:sz w:val="20"/>
              </w:rPr>
              <w:t>Lab/blood screens (PDF/image/CSV artifacts + structured values if available)</w:t>
            </w:r>
          </w:p>
        </w:tc>
      </w:tr>
      <w:tr>
        <w:tc>
          <w:tcPr>
            <w:tcW w:type="dxa" w:w="4680"/>
          </w:tcPr>
          <w:p>
            <w:r>
              <w:rPr>
                <w:sz w:val="20"/>
              </w:rPr>
              <w:t>**Records Pod**</w:t>
            </w:r>
          </w:p>
        </w:tc>
        <w:tc>
          <w:tcPr>
            <w:tcW w:type="dxa" w:w="4680"/>
          </w:tcPr>
          <w:p>
            <w:r>
              <w:rPr>
                <w:sz w:val="20"/>
              </w:rPr>
              <w:t>EHR/EMR/PHR documents (PDFs/images/CSVs)</w:t>
            </w:r>
          </w:p>
        </w:tc>
      </w:tr>
    </w:tbl>
    <w:p/>
    <w:p>
      <w:pPr>
        <w:pStyle w:val="Heading3"/>
      </w:pPr>
      <w:r>
        <w:t>Default Pod Rules (MVP)</w:t>
      </w:r>
    </w:p>
    <w:p>
      <w:r/>
      <w:r>
        <w:rPr>
          <w:b/>
        </w:rPr>
        <w:t>AI-labeled shares:</w:t>
      </w:r>
      <w:r/>
    </w:p>
    <w:p>
      <w:pPr>
        <w:pStyle w:val="ListBullet"/>
      </w:pPr>
      <w:r>
        <w:t>Allowed: Wearables Pod (derived summaries only)</w:t>
      </w:r>
    </w:p>
    <w:p>
      <w:pPr>
        <w:pStyle w:val="ListBullet"/>
      </w:pPr>
      <w:r>
        <w:t>Allowed: Biomarkers Pod (see §7.4 for document rule)</w:t>
      </w:r>
    </w:p>
    <w:p>
      <w:pPr>
        <w:pStyle w:val="ListBullet"/>
      </w:pPr>
      <w:r>
        <w:t>Disallowed: Identity Pod (hard block)</w:t>
      </w:r>
    </w:p>
    <w:p>
      <w:pPr>
        <w:pStyle w:val="ListBullet"/>
      </w:pPr>
      <w:r>
        <w:t>Disallowed: Records Pod (hard block)</w:t>
      </w:r>
    </w:p>
    <w:p>
      <w:r/>
      <w:r>
        <w:rPr>
          <w:b/>
        </w:rPr>
        <w:t>API consumer shares:</w:t>
      </w:r>
      <w:r/>
    </w:p>
    <w:p>
      <w:pPr>
        <w:pStyle w:val="ListBullet"/>
      </w:pPr>
      <w:r>
        <w:t>Allowed: Wearables Pod (derived summaries default; raw optional only if explicitly enabled)</w:t>
      </w:r>
    </w:p>
    <w:p>
      <w:pPr>
        <w:pStyle w:val="ListBullet"/>
      </w:pPr>
      <w:r>
        <w:t>Allowed: Biomarkers Pod (raw docs allowed)</w:t>
      </w:r>
    </w:p>
    <w:p>
      <w:pPr>
        <w:pStyle w:val="ListBullet"/>
      </w:pPr>
      <w:r>
        <w:t>Records Pod: allowed only under strict guardrails + recipient verification + explicit user consent (see §7.5)</w:t>
      </w:r>
    </w:p>
    <w:p>
      <w:pPr>
        <w:pStyle w:val="ListBullet"/>
      </w:pPr>
      <w:r>
        <w:t>Identity Pod: allowed only with explicit toggle and only for non-AI recipients</w:t>
      </w:r>
    </w:p>
    <w:p>
      <w:pPr>
        <w:pStyle w:val="Heading2"/>
      </w:pPr>
      <w:r>
        <w:t>4. Canonical Objects (Schemas)</w:t>
      </w:r>
    </w:p>
    <w:p>
      <w:pPr>
        <w:pStyle w:val="Heading3"/>
      </w:pPr>
      <w:r>
        <w:t>4.1 VaultItem (Data Inventory Unit)</w:t>
      </w:r>
    </w:p>
    <w:p>
      <w:r/>
      <w:r>
        <w:rPr>
          <w:b/>
        </w:rPr>
        <w:t>Required fields:</w:t>
      </w:r>
      <w:r/>
    </w:p>
    <w:p>
      <w:pPr>
        <w:pStyle w:val="ListBullet"/>
      </w:pPr>
      <w:r>
        <w:t>`vault_item_id` (UUID)</w:t>
      </w:r>
    </w:p>
    <w:p>
      <w:pPr>
        <w:pStyle w:val="ListBullet"/>
      </w:pPr>
      <w:r>
        <w:t>`tenant_id`</w:t>
      </w:r>
    </w:p>
    <w:p>
      <w:pPr>
        <w:pStyle w:val="ListBullet"/>
      </w:pPr>
      <w:r>
        <w:t>`user_id`</w:t>
      </w:r>
    </w:p>
    <w:p>
      <w:pPr>
        <w:pStyle w:val="ListBullet"/>
      </w:pPr>
      <w:r>
        <w:t>`pod_type`: wearables | biomarkers | records | identity</w:t>
      </w:r>
    </w:p>
    <w:p>
      <w:pPr>
        <w:pStyle w:val="ListBullet"/>
      </w:pPr>
      <w:r>
        <w:t>`data_category` (enum, see §7.1)</w:t>
      </w:r>
    </w:p>
    <w:p>
      <w:pPr>
        <w:pStyle w:val="ListBullet"/>
      </w:pPr>
      <w:r>
        <w:t>`format`: json | csv | pdf | image</w:t>
      </w:r>
    </w:p>
    <w:p>
      <w:pPr>
        <w:pStyle w:val="ListBullet"/>
      </w:pPr>
      <w:r>
        <w:t>`created_at`</w:t>
      </w:r>
    </w:p>
    <w:p>
      <w:pPr>
        <w:pStyle w:val="ListBullet"/>
      </w:pPr>
      <w:r>
        <w:t>`source`: wearable | import | manual | external_record</w:t>
      </w:r>
    </w:p>
    <w:p>
      <w:pPr>
        <w:pStyle w:val="ListBullet"/>
      </w:pPr>
      <w:r>
        <w:t>`storage_ref` (opaque pointer)</w:t>
      </w:r>
    </w:p>
    <w:p>
      <w:pPr>
        <w:pStyle w:val="ListBullet"/>
      </w:pPr>
      <w:r>
        <w:t>`sensitivity`: low | medium | high (used for UX warnings and defaults)</w:t>
      </w:r>
    </w:p>
    <w:p>
      <w:pPr>
        <w:pStyle w:val="Heading3"/>
      </w:pPr>
      <w:r>
        <w:t>4.2 ConsentPolicy (Authoritative Policy Object)</w:t>
      </w:r>
    </w:p>
    <w:p>
      <w:r>
        <w:t>ConsentPolicy binds all sharing to: scope + purpose + duration + recipient.</w:t>
      </w:r>
    </w:p>
    <w:p>
      <w:r/>
      <w:r>
        <w:rPr>
          <w:b/>
        </w:rPr>
        <w:t>Required fields:</w:t>
      </w:r>
      <w:r/>
    </w:p>
    <w:p>
      <w:pPr>
        <w:pStyle w:val="ListBullet"/>
      </w:pPr>
      <w:r>
        <w:t>`policy_id` (UUID)</w:t>
      </w:r>
    </w:p>
    <w:p>
      <w:pPr>
        <w:pStyle w:val="ListBullet"/>
      </w:pPr>
      <w:r>
        <w:t>`policy_version` (int)</w:t>
      </w:r>
    </w:p>
    <w:p>
      <w:pPr>
        <w:pStyle w:val="ListBullet"/>
      </w:pPr>
      <w:r>
        <w:t>`tenant_id`, `user_id`</w:t>
      </w:r>
    </w:p>
    <w:p>
      <w:pPr>
        <w:pStyle w:val="ListBullet"/>
      </w:pPr>
      <w:r>
        <w:t>`created_at`, `updated_at`</w:t>
      </w:r>
    </w:p>
    <w:p>
      <w:pPr>
        <w:pStyle w:val="ListBullet"/>
      </w:pPr>
      <w:r>
        <w:t>`status`: draft | active | retired</w:t>
      </w:r>
    </w:p>
    <w:p>
      <w:r/>
      <w:r>
        <w:rPr>
          <w:b/>
        </w:rPr>
        <w:t>Scope:</w:t>
      </w:r>
      <w:r/>
    </w:p>
    <w:p>
      <w:pPr>
        <w:pStyle w:val="ListBullet"/>
      </w:pPr>
      <w:r>
        <w:t>`data_categories`: [enum list]</w:t>
      </w:r>
    </w:p>
    <w:p>
      <w:pPr>
        <w:pStyle w:val="ListBullet"/>
      </w:pPr>
      <w:r>
        <w:t>`pod_types`: [enum list]</w:t>
      </w:r>
    </w:p>
    <w:p>
      <w:pPr>
        <w:pStyle w:val="ListBullet"/>
      </w:pPr>
      <w:r>
        <w:t>`time_window`: start/end OR "last N days"</w:t>
      </w:r>
    </w:p>
    <w:p>
      <w:pPr>
        <w:pStyle w:val="ListBullet"/>
      </w:pPr>
      <w:r>
        <w:t>`granularity`: derived_summaries_only | raw_allowed_by_explicit_toggle</w:t>
      </w:r>
    </w:p>
    <w:p>
      <w:pPr>
        <w:pStyle w:val="ListBullet"/>
      </w:pPr>
      <w:r>
        <w:t>`allowed_transform_level`: L1 | L2 (see §6)</w:t>
      </w:r>
    </w:p>
    <w:p>
      <w:pPr>
        <w:pStyle w:val="ListBullet"/>
      </w:pPr>
      <w:r>
        <w:t>`identifiers_included`: false by default</w:t>
      </w:r>
    </w:p>
    <w:p>
      <w:pPr>
        <w:pStyle w:val="ListBullet"/>
      </w:pPr>
      <w:r>
        <w:t>`allowed_identifiers`: [] by default</w:t>
      </w:r>
    </w:p>
    <w:p>
      <w:r/>
      <w:r>
        <w:rPr>
          <w:b/>
        </w:rPr>
        <w:t>Recipient:</w:t>
      </w:r>
      <w:r/>
    </w:p>
    <w:p>
      <w:pPr>
        <w:pStyle w:val="ListBullet"/>
      </w:pPr>
      <w:r>
        <w:t>`recipient_type`: ai_export | api_consumer | org_recipient (future)</w:t>
      </w:r>
    </w:p>
    <w:p>
      <w:pPr>
        <w:pStyle w:val="ListBullet"/>
      </w:pPr>
      <w:r>
        <w:t>`recipient_id` (nullable for ai_export if only "labeling"; preferred still to store declared recipient)</w:t>
      </w:r>
    </w:p>
    <w:p>
      <w:pPr>
        <w:pStyle w:val="ListBullet"/>
      </w:pPr>
      <w:r>
        <w:t>`recipient_verification_required`: jwt | mtls | none (ai_export = none)</w:t>
      </w:r>
    </w:p>
    <w:p>
      <w:r/>
      <w:r>
        <w:rPr>
          <w:b/>
        </w:rPr>
        <w:t>Purpose:</w:t>
      </w:r>
      <w:r/>
    </w:p>
    <w:p>
      <w:pPr>
        <w:pStyle w:val="ListBullet"/>
      </w:pPr>
      <w:r>
        <w:t>`purpose_category` (enum)</w:t>
      </w:r>
    </w:p>
    <w:p>
      <w:pPr>
        <w:pStyle w:val="ListBullet"/>
      </w:pPr>
      <w:r>
        <w:t>`purpose_freeform` (optional)</w:t>
      </w:r>
    </w:p>
    <w:p>
      <w:pPr>
        <w:pStyle w:val="ListBullet"/>
      </w:pPr>
      <w:r>
        <w:t>`prohibited_uses` (policy statement): ads, marketing, sale, model_training</w:t>
      </w:r>
    </w:p>
    <w:p>
      <w:r/>
      <w:r>
        <w:rPr>
          <w:b/>
        </w:rPr>
        <w:t>Duration:</w:t>
      </w:r>
      <w:r/>
    </w:p>
    <w:p>
      <w:pPr>
        <w:pStyle w:val="ListBullet"/>
      </w:pPr>
      <w:r>
        <w:t>`access_mode`: one_time | time_bound</w:t>
      </w:r>
    </w:p>
    <w:p>
      <w:pPr>
        <w:pStyle w:val="ListBullet"/>
      </w:pPr>
      <w:r>
        <w:t>`valid_from`</w:t>
      </w:r>
    </w:p>
    <w:p>
      <w:pPr>
        <w:pStyle w:val="ListBullet"/>
      </w:pPr>
      <w:r>
        <w:t>`expires_at`</w:t>
      </w:r>
    </w:p>
    <w:p>
      <w:r/>
      <w:r>
        <w:rPr>
          <w:b/>
        </w:rPr>
        <w:t>Constraints:</w:t>
      </w:r>
      <w:r/>
    </w:p>
    <w:p>
      <w:pPr>
        <w:pStyle w:val="ListBullet"/>
      </w:pPr>
      <w:r>
        <w:t>`minimal_disclosure`: true</w:t>
      </w:r>
    </w:p>
    <w:p>
      <w:pPr>
        <w:pStyle w:val="ListBullet"/>
      </w:pPr>
      <w:r>
        <w:t>`deidentify_by_default`: true</w:t>
      </w:r>
    </w:p>
    <w:p>
      <w:pPr>
        <w:pStyle w:val="Heading3"/>
      </w:pPr>
      <w:r>
        <w:t>4.3 ShareGrant (Runtime Enforcement Unit)</w:t>
      </w:r>
    </w:p>
    <w:p>
      <w:r/>
      <w:r>
        <w:rPr>
          <w:b/>
        </w:rPr>
        <w:t>Required fields:</w:t>
      </w:r>
      <w:r/>
    </w:p>
    <w:p>
      <w:pPr>
        <w:pStyle w:val="ListBullet"/>
      </w:pPr>
      <w:r>
        <w:t>`share_id` (UUID)</w:t>
      </w:r>
    </w:p>
    <w:p>
      <w:pPr>
        <w:pStyle w:val="ListBullet"/>
      </w:pPr>
      <w:r>
        <w:t>`policy_id`</w:t>
      </w:r>
    </w:p>
    <w:p>
      <w:pPr>
        <w:pStyle w:val="ListBullet"/>
      </w:pPr>
      <w:r>
        <w:t>`tenant_id`, `user_id`</w:t>
      </w:r>
    </w:p>
    <w:p>
      <w:pPr>
        <w:pStyle w:val="ListBullet"/>
      </w:pPr>
      <w:r>
        <w:t>`created_at`</w:t>
      </w:r>
    </w:p>
    <w:p>
      <w:pPr>
        <w:pStyle w:val="ListBullet"/>
      </w:pPr>
      <w:r>
        <w:t>`status`: active | revoked | expired</w:t>
      </w:r>
    </w:p>
    <w:p>
      <w:pPr>
        <w:pStyle w:val="ListBullet"/>
      </w:pPr>
      <w:r>
        <w:t>`expires_at`</w:t>
      </w:r>
    </w:p>
    <w:p>
      <w:pPr>
        <w:pStyle w:val="ListBullet"/>
      </w:pPr>
      <w:r>
        <w:t>`revoked_at` (nullable)</w:t>
      </w:r>
    </w:p>
    <w:p>
      <w:r/>
      <w:r>
        <w:rPr>
          <w:b/>
        </w:rPr>
        <w:t>Access credential:</w:t>
      </w:r>
      <w:r/>
    </w:p>
    <w:p>
      <w:pPr>
        <w:pStyle w:val="ListBullet"/>
      </w:pPr>
      <w:r>
        <w:t>`share_mode`: ai_export | api_fetch</w:t>
      </w:r>
    </w:p>
    <w:p>
      <w:pPr>
        <w:pStyle w:val="ListBullet"/>
      </w:pPr>
      <w:r>
        <w:t>`credential_type`:</w:t>
      </w:r>
    </w:p>
    <w:p>
      <w:pPr>
        <w:pStyle w:val="ListBullet"/>
      </w:pPr>
      <w:r>
        <w:t>ai_export: one_time_download_token OR signed_url</w:t>
      </w:r>
    </w:p>
    <w:p>
      <w:pPr>
        <w:pStyle w:val="ListBullet"/>
      </w:pPr>
      <w:r>
        <w:t>api_fetch: jwt (audience-bound); optional mtls_required flag</w:t>
      </w:r>
    </w:p>
    <w:p>
      <w:pPr>
        <w:pStyle w:val="ListBullet"/>
      </w:pPr>
      <w:r>
        <w:t>`credential_id` (store references; avoid storing raw secrets)</w:t>
      </w:r>
    </w:p>
    <w:p>
      <w:r/>
      <w:r>
        <w:rPr>
          <w:b/>
        </w:rPr>
        <w:t>Counters:</w:t>
      </w:r>
      <w:r/>
    </w:p>
    <w:p>
      <w:pPr>
        <w:pStyle w:val="ListBullet"/>
      </w:pPr>
      <w:r>
        <w:t>`last_access_at` (nullable)</w:t>
      </w:r>
    </w:p>
    <w:p>
      <w:pPr>
        <w:pStyle w:val="ListBullet"/>
      </w:pPr>
      <w:r>
        <w:t>`access_count_total`</w:t>
      </w:r>
    </w:p>
    <w:p>
      <w:pPr>
        <w:pStyle w:val="ListBullet"/>
      </w:pPr>
      <w:r>
        <w:t>`access_count_success`</w:t>
      </w:r>
    </w:p>
    <w:p>
      <w:pPr>
        <w:pStyle w:val="ListBullet"/>
      </w:pPr>
      <w:r>
        <w:t>`access_count_denied`</w:t>
      </w:r>
    </w:p>
    <w:p>
      <w:pPr>
        <w:pStyle w:val="Heading3"/>
      </w:pPr>
      <w:r>
        <w:t>4.4 OutboundContext (What Is Released)</w:t>
      </w:r>
    </w:p>
    <w:p>
      <w:r/>
      <w:r>
        <w:rPr>
          <w:b/>
        </w:rPr>
        <w:t>Required fields:</w:t>
      </w:r>
      <w:r/>
    </w:p>
    <w:p>
      <w:pPr>
        <w:pStyle w:val="ListBullet"/>
      </w:pPr>
      <w:r>
        <w:t>`share_id`</w:t>
      </w:r>
    </w:p>
    <w:p>
      <w:pPr>
        <w:pStyle w:val="ListBullet"/>
      </w:pPr>
      <w:r>
        <w:t>`recipient_id` (if known)</w:t>
      </w:r>
    </w:p>
    <w:p>
      <w:pPr>
        <w:pStyle w:val="ListBullet"/>
      </w:pPr>
      <w:r>
        <w:t>`generated_at`</w:t>
      </w:r>
    </w:p>
    <w:p>
      <w:pPr>
        <w:pStyle w:val="ListBullet"/>
      </w:pPr>
      <w:r>
        <w:t>`scope_summary` (human-readable)</w:t>
      </w:r>
    </w:p>
    <w:p>
      <w:pPr>
        <w:pStyle w:val="ListBullet"/>
      </w:pPr>
      <w:r>
        <w:t>`payload_manifest`:</w:t>
      </w:r>
    </w:p>
    <w:p>
      <w:pPr>
        <w:pStyle w:val="ListBullet"/>
      </w:pPr>
      <w:r>
        <w:t>`files`: list of file entries (format, size, checksum, label)</w:t>
      </w:r>
    </w:p>
    <w:p>
      <w:pPr>
        <w:pStyle w:val="ListBullet"/>
      </w:pPr>
      <w:r>
        <w:t>`structured_payloads`: list of JSON/CSV outputs</w:t>
      </w:r>
    </w:p>
    <w:p>
      <w:pPr>
        <w:pStyle w:val="ListBullet"/>
      </w:pPr>
      <w:r>
        <w:t>`transforms_applied`: list</w:t>
      </w:r>
    </w:p>
    <w:p>
      <w:pPr>
        <w:pStyle w:val="ListBullet"/>
      </w:pPr>
      <w:r>
        <w:t>`identifiers_included`: boolean (should be false for AI-labeled)</w:t>
      </w:r>
    </w:p>
    <w:p>
      <w:pPr>
        <w:pStyle w:val="ListBullet"/>
      </w:pPr>
      <w:r>
        <w:t>`provenance`:</w:t>
      </w:r>
    </w:p>
    <w:p>
      <w:pPr>
        <w:pStyle w:val="ListBullet"/>
      </w:pPr>
      <w:r>
        <w:t>`vault_item_ids` included (IDs only)</w:t>
      </w:r>
    </w:p>
    <w:p>
      <w:pPr>
        <w:pStyle w:val="Heading2"/>
      </w:pPr>
      <w:r>
        <w:t>5. UX Requirements (No Silent Sharing)</w:t>
      </w:r>
    </w:p>
    <w:p>
      <w:pPr>
        <w:pStyle w:val="Heading3"/>
      </w:pPr>
      <w:r>
        <w:t>5.1 Mandatory Steps</w:t>
      </w:r>
    </w:p>
    <w:p>
      <w:r>
        <w:t>The user must complete a step-based flow:</w:t>
      </w:r>
    </w:p>
    <w:p>
      <w:pPr>
        <w:pStyle w:val="ListNumber"/>
      </w:pPr>
      <w:r>
        <w:t>Select recipient type (AI export vs API consumer)</w:t>
      </w:r>
    </w:p>
    <w:p>
      <w:pPr>
        <w:pStyle w:val="ListNumber"/>
      </w:pPr>
      <w:r>
        <w:t>Select scope (categories + time window)</w:t>
      </w:r>
    </w:p>
    <w:p>
      <w:pPr>
        <w:pStyle w:val="ListNumber"/>
      </w:pPr>
      <w:r>
        <w:t>Select purpose</w:t>
      </w:r>
    </w:p>
    <w:p>
      <w:pPr>
        <w:pStyle w:val="ListNumber"/>
      </w:pPr>
      <w:r>
        <w:t>Select duration (one-time default for AI export)</w:t>
      </w:r>
    </w:p>
    <w:p>
      <w:pPr>
        <w:pStyle w:val="ListNumber"/>
      </w:pPr>
      <w:r>
        <w:t>Review + preview (what will be included)</w:t>
      </w:r>
    </w:p>
    <w:p>
      <w:pPr>
        <w:pStyle w:val="ListNumber"/>
      </w:pPr>
      <w:r>
        <w:t>Confirm → share created</w:t>
      </w:r>
    </w:p>
    <w:p>
      <w:pPr>
        <w:pStyle w:val="Heading3"/>
      </w:pPr>
      <w:r>
        <w:t>5.2 Defaults (Minimal Disclosure)</w:t>
      </w:r>
    </w:p>
    <w:p>
      <w:pPr>
        <w:pStyle w:val="ListBullet"/>
      </w:pPr>
      <w:r>
        <w:t>Smallest reasonable scope</w:t>
      </w:r>
    </w:p>
    <w:p>
      <w:pPr>
        <w:pStyle w:val="ListBullet"/>
      </w:pPr>
      <w:r>
        <w:t>Derived summaries by default for wearables</w:t>
      </w:r>
    </w:p>
    <w:p>
      <w:pPr>
        <w:pStyle w:val="ListBullet"/>
      </w:pPr>
      <w:r>
        <w:t>Identifiers OFF</w:t>
      </w:r>
    </w:p>
    <w:p>
      <w:pPr>
        <w:pStyle w:val="ListBullet"/>
      </w:pPr>
      <w:r>
        <w:t>Shortest duration by default (one-time preferred for AI export)</w:t>
      </w:r>
    </w:p>
    <w:p>
      <w:pPr>
        <w:pStyle w:val="Heading3"/>
      </w:pPr>
      <w:r>
        <w:t>5.3 Preview and Warnings</w:t>
      </w:r>
    </w:p>
    <w:p>
      <w:r>
        <w:t>Before confirmation, user sees:</w:t>
      </w:r>
    </w:p>
    <w:p>
      <w:pPr>
        <w:pStyle w:val="ListBullet"/>
      </w:pPr>
      <w:r>
        <w:t>Categories + time window + granularity</w:t>
      </w:r>
    </w:p>
    <w:p>
      <w:pPr>
        <w:pStyle w:val="ListBullet"/>
      </w:pPr>
      <w:r>
        <w:t>Explicit statement: "No identifiers will be included" (AI export)</w:t>
      </w:r>
    </w:p>
    <w:p>
      <w:pPr>
        <w:pStyle w:val="ListBullet"/>
      </w:pPr>
      <w:r>
        <w:t>Explicit statement: "Records documents are not included for AI shares"</w:t>
      </w:r>
    </w:p>
    <w:p>
      <w:pPr>
        <w:pStyle w:val="ListBullet"/>
      </w:pPr>
      <w:r>
        <w:t>Disclaimers:</w:t>
      </w:r>
    </w:p>
    <w:p>
      <w:pPr>
        <w:pStyle w:val="ListBullet"/>
      </w:pPr>
      <w:r>
        <w:t>Revocation stops future access from Consentext</w:t>
      </w:r>
    </w:p>
    <w:p>
      <w:pPr>
        <w:pStyle w:val="ListBullet"/>
      </w:pPr>
      <w:r>
        <w:t>Cannot retract data already exported to external systems</w:t>
      </w:r>
    </w:p>
    <w:p>
      <w:pPr>
        <w:pStyle w:val="ListBullet"/>
      </w:pPr>
      <w:r>
        <w:t>User-mediated export: user is responsible for what they upload externally</w:t>
      </w:r>
    </w:p>
    <w:p>
      <w:pPr>
        <w:pStyle w:val="Heading2"/>
      </w:pPr>
      <w:r>
        <w:t>6. Derived Summary Policy (Non-Interpretive Only)</w:t>
      </w:r>
    </w:p>
    <w:p>
      <w:r>
        <w:t>Allowed transformations are deterministic and non-interpretive.</w:t>
      </w:r>
    </w:p>
    <w:p>
      <w:r/>
      <w:r>
        <w:rPr>
          <w:b/>
        </w:rPr>
        <w:t>L1 — Reduced Granularity:</w:t>
      </w:r>
      <w:r/>
    </w:p>
    <w:p>
      <w:pPr>
        <w:pStyle w:val="ListBullet"/>
      </w:pPr>
      <w:r>
        <w:t>Downsample time-series (minute → hour/day)</w:t>
      </w:r>
    </w:p>
    <w:p>
      <w:pPr>
        <w:pStyle w:val="ListBullet"/>
      </w:pPr>
      <w:r>
        <w:t>Daily totals/means/min/max/count</w:t>
      </w:r>
    </w:p>
    <w:p>
      <w:pPr>
        <w:pStyle w:val="ListBullet"/>
      </w:pPr>
      <w:r>
        <w:t>Time-window filtering</w:t>
      </w:r>
    </w:p>
    <w:p>
      <w:pPr>
        <w:pStyle w:val="ListBullet"/>
      </w:pPr>
      <w:r>
        <w:t>Unit conversion</w:t>
      </w:r>
    </w:p>
    <w:p>
      <w:r/>
      <w:r>
        <w:rPr>
          <w:b/>
        </w:rPr>
        <w:t>L2 — Structured Extraction:</w:t>
      </w:r>
      <w:r/>
    </w:p>
    <w:p>
      <w:pPr>
        <w:pStyle w:val="ListBullet"/>
      </w:pPr>
      <w:r>
        <w:t>Extract structured fields (e.g., analyte/value/unit/date) if present in CSV/structured inputs</w:t>
      </w:r>
    </w:p>
    <w:p>
      <w:pPr>
        <w:pStyle w:val="ListBullet"/>
      </w:pPr>
      <w:r>
        <w:t>Normalization of schema/units</w:t>
      </w:r>
    </w:p>
    <w:p>
      <w:r/>
      <w:r>
        <w:rPr>
          <w:b/>
        </w:rPr>
        <w:t>Explicitly prohibited:</w:t>
      </w:r>
      <w:r/>
    </w:p>
    <w:p>
      <w:pPr>
        <w:pStyle w:val="ListBullet"/>
      </w:pPr>
      <w:r>
        <w:t>Any "so what" interpretation (normal/abnormal labeling, risk scoring, advice)</w:t>
      </w:r>
    </w:p>
    <w:p>
      <w:pPr>
        <w:pStyle w:val="ListBullet"/>
      </w:pPr>
      <w:r>
        <w:t>Recommendations/diagnostics</w:t>
      </w:r>
    </w:p>
    <w:p>
      <w:pPr>
        <w:pStyle w:val="ListBullet"/>
      </w:pPr>
      <w:r>
        <w:t>Prompt generation or model orchestration</w:t>
      </w:r>
    </w:p>
    <w:p>
      <w:pPr>
        <w:pStyle w:val="Heading2"/>
      </w:pPr>
      <w:r>
        <w:t>7. Data Categories and Sharing Rules</w:t>
      </w:r>
    </w:p>
    <w:p>
      <w:pPr>
        <w:pStyle w:val="Heading3"/>
      </w:pPr>
      <w:r>
        <w:t>7.1 Data Category Enum (MVP)</w:t>
      </w:r>
    </w:p>
    <w:p>
      <w:r/>
      <w:r>
        <w:rPr>
          <w:b/>
        </w:rPr>
        <w:t>Wearables (derived summaries):</w:t>
      </w:r>
      <w:r/>
    </w:p>
    <w:p>
      <w:pPr>
        <w:pStyle w:val="ListBullet"/>
      </w:pPr>
      <w:r>
        <w:t>sleep</w:t>
      </w:r>
    </w:p>
    <w:p>
      <w:pPr>
        <w:pStyle w:val="ListBullet"/>
      </w:pPr>
      <w:r>
        <w:t>heart_rate</w:t>
      </w:r>
    </w:p>
    <w:p>
      <w:pPr>
        <w:pStyle w:val="ListBullet"/>
      </w:pPr>
      <w:r>
        <w:t>hrv</w:t>
      </w:r>
    </w:p>
    <w:p>
      <w:pPr>
        <w:pStyle w:val="ListBullet"/>
      </w:pPr>
      <w:r>
        <w:t>steps</w:t>
      </w:r>
    </w:p>
    <w:p>
      <w:pPr>
        <w:pStyle w:val="ListBullet"/>
      </w:pPr>
      <w:r>
        <w:t>activity</w:t>
      </w:r>
    </w:p>
    <w:p>
      <w:pPr>
        <w:pStyle w:val="ListBullet"/>
      </w:pPr>
      <w:r>
        <w:t>glucose (if available)</w:t>
      </w:r>
    </w:p>
    <w:p>
      <w:r>
        <w:t>(TODO: expand enum to match actual ingest pipeline.)</w:t>
      </w:r>
    </w:p>
    <w:p>
      <w:r/>
      <w:r>
        <w:rPr>
          <w:b/>
        </w:rPr>
        <w:t>Biomarkers/labs:</w:t>
      </w:r>
      <w:r/>
    </w:p>
    <w:p>
      <w:pPr>
        <w:pStyle w:val="ListBullet"/>
      </w:pPr>
      <w:r>
        <w:t>lab_reports (PDF/image/CSV artifacts)</w:t>
      </w:r>
    </w:p>
    <w:p>
      <w:pPr>
        <w:pStyle w:val="ListBullet"/>
      </w:pPr>
      <w:r>
        <w:t>lab_values (structured values if available)</w:t>
      </w:r>
    </w:p>
    <w:p>
      <w:r/>
      <w:r>
        <w:rPr>
          <w:b/>
        </w:rPr>
        <w:t>Records (EHR/EMR/PHR):</w:t>
      </w:r>
      <w:r/>
    </w:p>
    <w:p>
      <w:pPr>
        <w:pStyle w:val="ListBullet"/>
      </w:pPr>
      <w:r>
        <w:t>records_documents (PDF/image/CSV)</w:t>
      </w:r>
    </w:p>
    <w:p>
      <w:r/>
      <w:r>
        <w:rPr>
          <w:b/>
        </w:rPr>
        <w:t>Identity:</w:t>
      </w:r>
      <w:r/>
    </w:p>
    <w:p>
      <w:pPr>
        <w:pStyle w:val="ListBullet"/>
      </w:pPr>
      <w:r>
        <w:t>email (explicit toggle only; non-AI)</w:t>
      </w:r>
    </w:p>
    <w:p>
      <w:pPr>
        <w:pStyle w:val="ListBullet"/>
      </w:pPr>
      <w:r>
        <w:t>address (explicit toggle only; non-AI)</w:t>
      </w:r>
    </w:p>
    <w:p>
      <w:r/>
      <w:r>
        <w:rPr>
          <w:b/>
        </w:rPr>
        <w:t>Excluded:</w:t>
      </w:r>
      <w:r/>
    </w:p>
    <w:p>
      <w:pPr>
        <w:pStyle w:val="ListBullet"/>
      </w:pPr>
      <w:r>
        <w:t>medications_list (not a selectable category in MVP)</w:t>
      </w:r>
    </w:p>
    <w:p>
      <w:pPr>
        <w:pStyle w:val="Heading3"/>
      </w:pPr>
      <w:r>
        <w:t>7.2 AI Export Share Rules (Hard Guardrails)</w:t>
      </w:r>
    </w:p>
    <w:p>
      <w:r>
        <w:t xml:space="preserve">When </w:t>
      </w:r>
      <w:r>
        <w:rPr>
          <w:rFonts w:ascii="Consolas" w:hAnsi="Consolas"/>
          <w:color w:val="800000"/>
          <w:sz w:val="20"/>
        </w:rPr>
        <w:t>recipient_type = ai_export</w:t>
      </w:r>
      <w:r>
        <w:t>:</w:t>
      </w:r>
    </w:p>
    <w:p>
      <w:pPr>
        <w:pStyle w:val="ListBullet"/>
      </w:pPr>
      <w:r>
        <w:t>`identifiers_included` MUST be false</w:t>
      </w:r>
    </w:p>
    <w:p>
      <w:pPr>
        <w:pStyle w:val="ListBullet"/>
      </w:pPr>
      <w:r>
        <w:t>Records Pod MUST be excluded</w:t>
      </w:r>
    </w:p>
    <w:p>
      <w:pPr>
        <w:pStyle w:val="ListBullet"/>
      </w:pPr>
      <w:r>
        <w:t>Wearables Pod MUST be derived summaries only</w:t>
      </w:r>
    </w:p>
    <w:p>
      <w:pPr>
        <w:pStyle w:val="ListBullet"/>
      </w:pPr>
      <w:r>
        <w:t>Biomarkers Pod:</w:t>
      </w:r>
    </w:p>
    <w:p>
      <w:pPr>
        <w:pStyle w:val="ListBullet"/>
      </w:pPr>
      <w:r>
        <w:t>Allowed only if identifiers can be reliably excluded from the generated bundle</w:t>
      </w:r>
    </w:p>
    <w:p>
      <w:pPr>
        <w:pStyle w:val="ListBullet"/>
      </w:pPr>
      <w:r>
        <w:t>If the system cannot safely exclude identifiers in a lab document artifact, then:</w:t>
      </w:r>
    </w:p>
    <w:p>
      <w:pPr>
        <w:pStyle w:val="ListBullet"/>
      </w:pPr>
      <w:r>
        <w:t>Do not include the raw document in the bundle</w:t>
      </w:r>
    </w:p>
    <w:p>
      <w:pPr>
        <w:pStyle w:val="ListBullet"/>
      </w:pPr>
      <w:r>
        <w:t>Include only structured values (if available) OR deny with clear UX message</w:t>
      </w:r>
    </w:p>
    <w:p>
      <w:pPr>
        <w:pStyle w:val="Heading3"/>
      </w:pPr>
      <w:r>
        <w:t>7.3 API Consumer Share Rules</w:t>
      </w:r>
    </w:p>
    <w:p>
      <w:r>
        <w:t xml:space="preserve">When </w:t>
      </w:r>
      <w:r>
        <w:rPr>
          <w:rFonts w:ascii="Consolas" w:hAnsi="Consolas"/>
          <w:color w:val="800000"/>
          <w:sz w:val="20"/>
        </w:rPr>
        <w:t>recipient_type = api_consumer</w:t>
      </w:r>
      <w:r>
        <w:t>:</w:t>
      </w:r>
    </w:p>
    <w:p>
      <w:pPr>
        <w:pStyle w:val="ListBullet"/>
      </w:pPr>
      <w:r>
        <w:t>Recipient must be verified (jwt; optional mtls per recipient policy)</w:t>
      </w:r>
    </w:p>
    <w:p>
      <w:pPr>
        <w:pStyle w:val="ListBullet"/>
      </w:pPr>
      <w:r>
        <w:t>`records_documents` are allowed only under strict guardrails (§7.5)</w:t>
      </w:r>
    </w:p>
    <w:p>
      <w:pPr>
        <w:pStyle w:val="ListBullet"/>
      </w:pPr>
      <w:r>
        <w:t>Biomarkers raw docs are allowed</w:t>
      </w:r>
    </w:p>
    <w:p>
      <w:pPr>
        <w:pStyle w:val="ListBullet"/>
      </w:pPr>
      <w:r>
        <w:t>Wearables: derived summaries default; raw export only if explicitly enabled</w:t>
      </w:r>
    </w:p>
    <w:p>
      <w:pPr>
        <w:pStyle w:val="Heading3"/>
      </w:pPr>
      <w:r>
        <w:t>7.4 Biomarker Documents (Raw Doc Stance + Safety)</w:t>
      </w:r>
    </w:p>
    <w:p>
      <w:r/>
      <w:r>
        <w:rPr>
          <w:b/>
        </w:rPr>
        <w:t>Policy stance:</w:t>
      </w:r>
      <w:r/>
    </w:p>
    <w:p>
      <w:pPr>
        <w:pStyle w:val="ListBullet"/>
      </w:pPr>
      <w:r>
        <w:t>Raw biomarker documents are supported and may be shared (especially to API consumers).</w:t>
      </w:r>
    </w:p>
    <w:p>
      <w:pPr>
        <w:pStyle w:val="ListBullet"/>
      </w:pPr>
      <w:r>
        <w:t>For AI export bundles, raw biomarker documents may only be included if identifiers are not present (or can be deterministically removed without inference).</w:t>
      </w:r>
    </w:p>
    <w:p>
      <w:r/>
      <w:r>
        <w:rPr>
          <w:b/>
        </w:rPr>
        <w:t>Implementation requirement:</w:t>
      </w:r>
      <w:r/>
    </w:p>
    <w:p>
      <w:pPr>
        <w:pStyle w:val="ListBullet"/>
      </w:pPr>
      <w:r>
        <w:t>Document sharing must support a "safe artifact" representation for sharing (e.g., a sanitized copy).</w:t>
      </w:r>
    </w:p>
    <w:p>
      <w:pPr>
        <w:pStyle w:val="ListBullet"/>
      </w:pPr>
      <w:r>
        <w:t>If "safe artifact" cannot be produced, AI export bundles must fall back to structured values only (or deny).</w:t>
      </w:r>
    </w:p>
    <w:p>
      <w:pPr>
        <w:pStyle w:val="Heading3"/>
      </w:pPr>
      <w:r>
        <w:t>7.5 Records Documents (EHR/EMR/PHR) Guardrails</w:t>
      </w:r>
    </w:p>
    <w:p>
      <w:pPr>
        <w:pStyle w:val="ListBullet"/>
      </w:pPr>
      <w:r>
        <w:t>Not shareable to AI export in Phase 3.75.</w:t>
      </w:r>
    </w:p>
    <w:p>
      <w:pPr>
        <w:pStyle w:val="ListBullet"/>
      </w:pPr>
      <w:r>
        <w:t>For API consumer shares, `records_documents` require:</w:t>
      </w:r>
    </w:p>
    <w:p>
      <w:pPr>
        <w:pStyle w:val="ListBullet"/>
      </w:pPr>
      <w:r>
        <w:t>Explicit user selection (not default)</w:t>
      </w:r>
    </w:p>
    <w:p>
      <w:pPr>
        <w:pStyle w:val="ListBullet"/>
      </w:pPr>
      <w:r>
        <w:t>Stronger review step and warning</w:t>
      </w:r>
    </w:p>
    <w:p>
      <w:pPr>
        <w:pStyle w:val="ListBullet"/>
      </w:pPr>
      <w:r>
        <w:t>Recipient verification (jwt + optional mtls)</w:t>
      </w:r>
    </w:p>
    <w:p>
      <w:pPr>
        <w:pStyle w:val="ListBullet"/>
      </w:pPr>
      <w:r>
        <w:t>Shorter expiry recommended (even if not the global default)</w:t>
      </w:r>
    </w:p>
    <w:p>
      <w:pPr>
        <w:pStyle w:val="ListBullet"/>
      </w:pPr>
      <w:r>
        <w:t>Logging of each access attempt (allow/deny)</w:t>
      </w:r>
    </w:p>
    <w:p>
      <w:pPr>
        <w:pStyle w:val="Heading2"/>
      </w:pPr>
      <w:r>
        <w:t>8. Identifier Policy</w:t>
      </w:r>
    </w:p>
    <w:p>
      <w:pPr>
        <w:pStyle w:val="Heading3"/>
      </w:pPr>
      <w:r>
        <w:t>8.1 AI-Labeled Shares (Hard Block)</w:t>
      </w:r>
    </w:p>
    <w:p>
      <w:pPr>
        <w:pStyle w:val="ListBullet"/>
      </w:pPr>
      <w:r>
        <w:t>No identifiers included, ever.</w:t>
      </w:r>
    </w:p>
    <w:p>
      <w:pPr>
        <w:pStyle w:val="ListBullet"/>
      </w:pPr>
      <w:r>
        <w:t>Never-share identifiers include all 18 HIPAA Safe Harbor identifiers (see §v3.0 additions for the full list): names, geographic data, dates, phone/fax numbers, email addresses, SSN, MRN, health plan IDs, account numbers, certificate/license numbers, vehicle/device identifiers, URLs, IP addresses, biometric identifiers, face photos, and any other unique identifying number or code.</w:t>
      </w:r>
    </w:p>
    <w:p>
      <w:pPr>
        <w:pStyle w:val="Heading3"/>
      </w:pPr>
      <w:r>
        <w:t>8.2 Non-AI Recipients (Explicit Toggle Only)</w:t>
      </w:r>
    </w:p>
    <w:p>
      <w:r>
        <w:t>Allowed only with explicit user toggle:</w:t>
      </w:r>
    </w:p>
    <w:p>
      <w:pPr>
        <w:pStyle w:val="ListBullet"/>
      </w:pPr>
      <w:r>
        <w:t>email</w:t>
      </w:r>
    </w:p>
    <w:p>
      <w:pPr>
        <w:pStyle w:val="ListBullet"/>
      </w:pPr>
      <w:r>
        <w:t>address</w:t>
      </w:r>
    </w:p>
    <w:p>
      <w:r>
        <w:t>Default remains OFF.</w:t>
      </w:r>
    </w:p>
    <w:p>
      <w:pPr>
        <w:pStyle w:val="Heading2"/>
      </w:pPr>
      <w:r>
        <w:t>9. Runtime Enforcement (Request-Time, Always)</w:t>
      </w:r>
    </w:p>
    <w:p>
      <w:r>
        <w:t>Every access attempt must verify:</w:t>
      </w:r>
    </w:p>
    <w:p>
      <w:pPr>
        <w:pStyle w:val="ListNumber"/>
      </w:pPr>
      <w:r>
        <w:t>Share exists</w:t>
      </w:r>
    </w:p>
    <w:p>
      <w:pPr>
        <w:pStyle w:val="ListNumber"/>
      </w:pPr>
      <w:r>
        <w:t>Share status = active</w:t>
      </w:r>
    </w:p>
    <w:p>
      <w:pPr>
        <w:pStyle w:val="ListNumber"/>
      </w:pPr>
      <w:r>
        <w:t>Share not expired</w:t>
      </w:r>
    </w:p>
    <w:p>
      <w:pPr>
        <w:pStyle w:val="ListNumber"/>
      </w:pPr>
      <w:r>
        <w:t>Share not revoked</w:t>
      </w:r>
    </w:p>
    <w:p>
      <w:pPr>
        <w:pStyle w:val="ListNumber"/>
      </w:pPr>
      <w:r>
        <w:t>Recipient verification passes (api_consumer)</w:t>
      </w:r>
    </w:p>
    <w:p>
      <w:pPr>
        <w:pStyle w:val="ListNumber"/>
      </w:pPr>
      <w:r>
        <w:t>Requested scope ⊆ share scope</w:t>
      </w:r>
    </w:p>
    <w:p>
      <w:pPr>
        <w:pStyle w:val="ListNumber"/>
      </w:pPr>
      <w:r>
        <w:t>Pod/data category constraints for recipient_type</w:t>
      </w:r>
    </w:p>
    <w:p>
      <w:pPr>
        <w:pStyle w:val="ListNumber"/>
      </w:pPr>
      <w:r>
        <w:t>Rate limits / quotas (configurable)</w:t>
      </w:r>
    </w:p>
    <w:p>
      <w:r>
        <w:t>Fail closed: if any check fails → deny + audit event with reason code.</w:t>
      </w:r>
    </w:p>
    <w:p>
      <w:pPr>
        <w:pStyle w:val="Heading2"/>
      </w:pPr>
      <w:r>
        <w:t>10. Expiry and Revocation Semantics</w:t>
      </w:r>
    </w:p>
    <w:p>
      <w:pPr>
        <w:pStyle w:val="ListBullet"/>
      </w:pPr>
      <w:r/>
      <w:r>
        <w:rPr>
          <w:b/>
        </w:rPr>
        <w:t>Expiry:</w:t>
      </w:r>
      <w:r>
        <w:t xml:space="preserve"> Access after `expires_at` fails cleanly.</w:t>
      </w:r>
    </w:p>
    <w:p>
      <w:pPr>
        <w:pStyle w:val="ListBullet"/>
      </w:pPr>
      <w:r/>
      <w:r>
        <w:rPr>
          <w:b/>
        </w:rPr>
        <w:t>Revocation:</w:t>
      </w:r>
      <w:r>
        <w:t xml:space="preserve"> Immediate; future access denied even if the credential is still presented.</w:t>
      </w:r>
    </w:p>
    <w:p>
      <w:pPr>
        <w:pStyle w:val="ListBullet"/>
      </w:pPr>
      <w:r>
        <w:t>Revocation does not retract content already exported outside Consentext.</w:t>
      </w:r>
    </w:p>
    <w:p>
      <w:pPr>
        <w:pStyle w:val="Heading2"/>
      </w:pPr>
      <w:r>
        <w:t>11. Rate Limits / Quotas (TBD Numbers)</w:t>
      </w:r>
    </w:p>
    <w:p>
      <w:r>
        <w:t>System must support configurable limits:</w:t>
      </w:r>
    </w:p>
    <w:p>
      <w:pPr>
        <w:pStyle w:val="ListBullet"/>
      </w:pPr>
      <w:r>
        <w:t>Per share (download count / fetch count)</w:t>
      </w:r>
    </w:p>
    <w:p>
      <w:pPr>
        <w:pStyle w:val="ListBullet"/>
      </w:pPr>
      <w:r>
        <w:t>Per recipient</w:t>
      </w:r>
    </w:p>
    <w:p>
      <w:pPr>
        <w:pStyle w:val="ListBullet"/>
      </w:pPr>
      <w:r>
        <w:t>Per tenant</w:t>
      </w:r>
    </w:p>
    <w:p>
      <w:pPr>
        <w:pStyle w:val="ListBullet"/>
      </w:pPr>
      <w:r>
        <w:t>Per user</w:t>
      </w:r>
    </w:p>
    <w:p>
      <w:r>
        <w:t>Default limits should be conservative until funding/revenue exists.</w:t>
      </w:r>
    </w:p>
    <w:p>
      <w:pPr>
        <w:pStyle w:val="Heading2"/>
      </w:pPr>
      <w:r>
        <w:t>12. Environments</w:t>
      </w:r>
    </w:p>
    <w:p>
      <w:r>
        <w:t>Phase 3.75 must run in dev/staging with environment separation:</w:t>
      </w:r>
    </w:p>
    <w:p>
      <w:pPr>
        <w:pStyle w:val="ListBullet"/>
      </w:pPr>
      <w:r>
        <w:t>Separate secrets</w:t>
      </w:r>
    </w:p>
    <w:p>
      <w:pPr>
        <w:pStyle w:val="ListBullet"/>
      </w:pPr>
      <w:r>
        <w:t>Separate storage buckets</w:t>
      </w:r>
    </w:p>
    <w:p>
      <w:pPr>
        <w:pStyle w:val="ListBullet"/>
      </w:pPr>
      <w:r>
        <w:t>No PHI payloads in logs/telemetry</w:t>
      </w:r>
    </w:p>
    <w:p>
      <w:pPr>
        <w:pStyle w:val="Heading2"/>
      </w:pPr>
      <w:r>
        <w:t>13. Verification (Acceptance Checks)</w:t>
      </w:r>
    </w:p>
    <w:p>
      <w:pPr>
        <w:pStyle w:val="ListBullet"/>
      </w:pPr>
      <w:r>
        <w:t>[ ] Share creation UX enforces step-by-step flow with preview</w:t>
      </w:r>
    </w:p>
    <w:p>
      <w:pPr>
        <w:pStyle w:val="ListBullet"/>
      </w:pPr>
      <w:r>
        <w:t>[ ] AI export excludes identity pod and records pod</w:t>
      </w:r>
    </w:p>
    <w:p>
      <w:pPr>
        <w:pStyle w:val="ListBullet"/>
      </w:pPr>
      <w:r>
        <w:t>[ ] Wearables default to derived summaries for AI export</w:t>
      </w:r>
    </w:p>
    <w:p>
      <w:pPr>
        <w:pStyle w:val="ListBullet"/>
      </w:pPr>
      <w:r>
        <w:t>[ ] Biomarker raw docs excluded from AI export when identifiers cannot be removed</w:t>
      </w:r>
    </w:p>
    <w:p>
      <w:pPr>
        <w:pStyle w:val="ListBullet"/>
      </w:pPr>
      <w:r>
        <w:t>[ ] API consumer must pass recipient verification before context generation</w:t>
      </w:r>
    </w:p>
    <w:p>
      <w:pPr>
        <w:pStyle w:val="ListBullet"/>
      </w:pPr>
      <w:r>
        <w:t>[ ] Revocation immediately blocks future access</w:t>
      </w:r>
    </w:p>
    <w:p>
      <w:pPr>
        <w:pStyle w:val="ListBullet"/>
      </w:pPr>
      <w:r>
        <w:t>[ ] Audit events emitted for all share lifecycle and access events</w:t>
      </w:r>
    </w:p>
    <w:p>
      <w:r>
        <w:t>____________________________________________________________</w:t>
      </w:r>
    </w:p>
    <w:p>
      <w:pPr>
        <w:pStyle w:val="Heading2"/>
      </w:pPr>
      <w:r>
        <w:t>v2.0 Iteration — Blueprint Additions</w:t>
      </w:r>
    </w:p>
    <w:p>
      <w:pPr>
        <w:pStyle w:val="Heading3"/>
      </w:pPr>
      <w:r>
        <w:t>Simple Consent UX (4-Choice Model)</w:t>
      </w:r>
    </w:p>
    <w:p>
      <w:r>
        <w:t>Per the Blueprint, the consent UX should offer four clear choices to the user when a share is requested:</w:t>
      </w:r>
    </w:p>
    <w:p>
      <w:pPr>
        <w:pStyle w:val="ListNumber"/>
      </w:pPr>
      <w:r/>
      <w:r>
        <w:rPr>
          <w:b/>
        </w:rPr>
        <w:t>Allow once</w:t>
      </w:r>
      <w:r>
        <w:t xml:space="preserve"> — single access, then share expires</w:t>
      </w:r>
    </w:p>
    <w:p>
      <w:pPr>
        <w:pStyle w:val="ListNumber"/>
      </w:pPr>
      <w:r/>
      <w:r>
        <w:rPr>
          <w:b/>
        </w:rPr>
        <w:t>Allow 24 hours</w:t>
      </w:r>
      <w:r>
        <w:t xml:space="preserve"> — time-bound access, auto-expires</w:t>
      </w:r>
    </w:p>
    <w:p>
      <w:pPr>
        <w:pStyle w:val="ListNumber"/>
      </w:pPr>
      <w:r/>
      <w:r>
        <w:rPr>
          <w:b/>
        </w:rPr>
        <w:t>Always allow</w:t>
      </w:r>
      <w:r>
        <w:t xml:space="preserve"> — persistent access until revoked (with periodic review reminders)</w:t>
      </w:r>
    </w:p>
    <w:p>
      <w:pPr>
        <w:pStyle w:val="ListNumber"/>
      </w:pPr>
      <w:r/>
      <w:r>
        <w:rPr>
          <w:b/>
        </w:rPr>
        <w:t>Never allow</w:t>
      </w:r>
      <w:r>
        <w:t xml:space="preserve"> — hard block for this requester/purpose combination</w:t>
      </w:r>
    </w:p>
    <w:p>
      <w:r>
        <w:t xml:space="preserve">This simplifies the current step-based flow for common cases. The full scope/purpose/duration controls remain available for advanced configuration, but the 4-choice model should be the primary UX surface. Each choice maps to a ConsentPolicy with the appropriate </w:t>
      </w:r>
      <w:r>
        <w:rPr>
          <w:rFonts w:ascii="Consolas" w:hAnsi="Consolas"/>
          <w:color w:val="800000"/>
          <w:sz w:val="20"/>
        </w:rPr>
        <w:t>access_mode</w:t>
      </w:r>
      <w:r>
        <w:t xml:space="preserve"> and </w:t>
      </w:r>
      <w:r>
        <w:rPr>
          <w:rFonts w:ascii="Consolas" w:hAnsi="Consolas"/>
          <w:color w:val="800000"/>
          <w:sz w:val="20"/>
        </w:rPr>
        <w:t>expires_at</w:t>
      </w:r>
      <w:r>
        <w:t xml:space="preserve"> values.</w:t>
      </w:r>
    </w:p>
    <w:p>
      <w:pPr>
        <w:pStyle w:val="Heading3"/>
      </w:pPr>
      <w:r>
        <w:t>Purpose Labels as Enforcement Primitive</w:t>
      </w:r>
    </w:p>
    <w:p>
      <w:r>
        <w:t>The Blueprint elevates purpose labels from metadata to an enforcement primitive. At Governance Level 2 (2026 target):</w:t>
      </w:r>
    </w:p>
    <w:p>
      <w:pPr>
        <w:pStyle w:val="ListBullet"/>
      </w:pPr>
      <w:r>
        <w:t>Every ConsentPolicy must include a `purpose_category` (e.g., wellness_coaching, clinical_review, meal_planning, research)</w:t>
      </w:r>
    </w:p>
    <w:p>
      <w:pPr>
        <w:pStyle w:val="ListBullet"/>
      </w:pPr>
      <w:r>
        <w:t>The policy engine evaluates purpose match: a share granted for "meal planning" cannot be used for "insurance underwriting"</w:t>
      </w:r>
    </w:p>
    <w:p>
      <w:pPr>
        <w:pStyle w:val="ListBullet"/>
      </w:pPr>
      <w:r>
        <w:t>Purpose mismatch triggers a deny with reason code `purpose_mismatch`</w:t>
      </w:r>
    </w:p>
    <w:p>
      <w:pPr>
        <w:pStyle w:val="ListBullet"/>
      </w:pPr>
      <w:r>
        <w:t>Add `purpose_mismatch` to the reason code enum</w:t>
      </w:r>
    </w:p>
    <w:p>
      <w:r>
        <w:t>Architecture must support purpose labels in the ConsentPolicy schema from day one, even if enforcement is deferred to Level 2. Store the label, display it in audit, but do not gate on it until the policy engine supports it.</w:t>
      </w:r>
    </w:p>
    <w:p>
      <w:pPr>
        <w:pStyle w:val="Heading3"/>
      </w:pPr>
      <w:r>
        <w:t>Consent Posture Modes (Level 3 Placeholder)</w:t>
      </w:r>
    </w:p>
    <w:p>
      <w:r>
        <w:t>At Governance Level 3 (2027), users may select a consent posture mode:</w:t>
      </w:r>
    </w:p>
    <w:p>
      <w:pPr>
        <w:pStyle w:val="ListBullet"/>
      </w:pPr>
      <w:r/>
      <w:r>
        <w:rPr>
          <w:b/>
        </w:rPr>
        <w:t>Open:</w:t>
      </w:r>
      <w:r>
        <w:t xml:space="preserve"> Default allow for registered requesters within scope (still audited)</w:t>
      </w:r>
    </w:p>
    <w:p>
      <w:pPr>
        <w:pStyle w:val="ListBullet"/>
      </w:pPr>
      <w:r/>
      <w:r>
        <w:rPr>
          <w:b/>
        </w:rPr>
        <w:t>Selective:</w:t>
      </w:r>
      <w:r>
        <w:t xml:space="preserve"> Per-requester approval (current default)</w:t>
      </w:r>
    </w:p>
    <w:p>
      <w:pPr>
        <w:pStyle w:val="ListBullet"/>
      </w:pPr>
      <w:r/>
      <w:r>
        <w:rPr>
          <w:b/>
        </w:rPr>
        <w:t>Locked:</w:t>
      </w:r>
      <w:r>
        <w:t xml:space="preserve"> No external access unless explicitly unlocked per request</w:t>
      </w:r>
    </w:p>
    <w:p>
      <w:r>
        <w:t xml:space="preserve">This is a future feature. The v2.0 architecture must not make assumptions that prevent posture modes from being added. Specifically: the ConsentPolicy schema should have a reserved field for </w:t>
      </w:r>
      <w:r>
        <w:rPr>
          <w:rFonts w:ascii="Consolas" w:hAnsi="Consolas"/>
          <w:color w:val="800000"/>
          <w:sz w:val="20"/>
        </w:rPr>
        <w:t>posture_mode</w:t>
      </w:r>
      <w:r>
        <w:t xml:space="preserve"> (default: selective) and the enforcement pipeline should have a seam where posture evaluation can be inserted.</w:t>
      </w:r>
    </w:p>
    <w:p>
      <w:pPr>
        <w:pStyle w:val="Heading3"/>
      </w:pPr>
      <w:r>
        <w:t>Agent-Specific Consent</w:t>
      </w:r>
    </w:p>
    <w:p>
      <w:r>
        <w:t>When an agent (AI assistant, automated tool) requests access, it is treated as a principal with its own identity. Agent consent has additional constraints per the Blueprint:</w:t>
      </w:r>
    </w:p>
    <w:p>
      <w:pPr>
        <w:pStyle w:val="ListBullet"/>
      </w:pPr>
      <w:r>
        <w:t xml:space="preserve">Agents receive </w:t>
      </w:r>
      <w:r>
        <w:rPr>
          <w:b/>
        </w:rPr>
        <w:t>derived-only</w:t>
      </w:r>
      <w:r>
        <w:t xml:space="preserve"> context by default (hard rule, not a preference)</w:t>
      </w:r>
    </w:p>
    <w:p>
      <w:pPr>
        <w:pStyle w:val="ListBullet"/>
      </w:pPr>
      <w:r>
        <w:t xml:space="preserve">Agent shares have a </w:t>
      </w:r>
      <w:r>
        <w:rPr>
          <w:b/>
        </w:rPr>
        <w:t>short TTL</w:t>
      </w:r>
      <w:r>
        <w:t xml:space="preserve"> (hours, not days)</w:t>
      </w:r>
    </w:p>
    <w:p>
      <w:pPr>
        <w:pStyle w:val="ListBullet"/>
      </w:pPr>
      <w:r>
        <w:t xml:space="preserve">Agent shares require a </w:t>
      </w:r>
      <w:r>
        <w:rPr>
          <w:b/>
        </w:rPr>
        <w:t>purpose label</w:t>
      </w:r>
      <w:r>
        <w:t xml:space="preserve"> (mandatory, not optional)</w:t>
      </w:r>
    </w:p>
    <w:p>
      <w:pPr>
        <w:pStyle w:val="ListBullet"/>
      </w:pPr>
      <w:r>
        <w:t xml:space="preserve">High-risk agent requests (broad scope, raw data) trigger the </w:t>
      </w:r>
      <w:r>
        <w:rPr>
          <w:b/>
        </w:rPr>
        <w:t>two-step approval flow</w:t>
      </w:r>
      <w:r>
        <w:t xml:space="preserve"> (see Access Enforcement spec §v2.0)</w:t>
      </w:r>
    </w:p>
    <w:p>
      <w:pPr>
        <w:pStyle w:val="ListBullet"/>
      </w:pPr>
      <w:r>
        <w:t>Agent identity is logged in all audit events as a distinct principal type</w:t>
      </w:r>
    </w:p>
    <w:p>
      <w:r>
        <w:t xml:space="preserve">Add </w:t>
      </w:r>
      <w:r>
        <w:rPr>
          <w:rFonts w:ascii="Consolas" w:hAnsi="Consolas"/>
          <w:color w:val="800000"/>
          <w:sz w:val="20"/>
        </w:rPr>
        <w:t>agent</w:t>
      </w:r>
      <w:r>
        <w:t xml:space="preserve"> as a valid </w:t>
      </w:r>
      <w:r>
        <w:rPr>
          <w:rFonts w:ascii="Consolas" w:hAnsi="Consolas"/>
          <w:color w:val="800000"/>
          <w:sz w:val="20"/>
        </w:rPr>
        <w:t>recipient_type</w:t>
      </w:r>
      <w:r>
        <w:t xml:space="preserve"> in the ConsentPolicy schema alongside </w:t>
      </w:r>
      <w:r>
        <w:rPr>
          <w:rFonts w:ascii="Consolas" w:hAnsi="Consolas"/>
          <w:color w:val="800000"/>
          <w:sz w:val="20"/>
        </w:rPr>
        <w:t>ai_export</w:t>
      </w:r>
      <w:r>
        <w:t xml:space="preserve">, </w:t>
      </w:r>
      <w:r>
        <w:rPr>
          <w:rFonts w:ascii="Consolas" w:hAnsi="Consolas"/>
          <w:color w:val="800000"/>
          <w:sz w:val="20"/>
        </w:rPr>
        <w:t>api_consumer</w:t>
      </w:r>
      <w:r>
        <w:t xml:space="preserve">, and </w:t>
      </w:r>
      <w:r>
        <w:rPr>
          <w:rFonts w:ascii="Consolas" w:hAnsi="Consolas"/>
          <w:color w:val="800000"/>
          <w:sz w:val="20"/>
        </w:rPr>
        <w:t>org_recipient</w:t>
      </w:r>
      <w:r>
        <w:t>.</w:t>
      </w:r>
    </w:p>
    <w:p>
      <w:r>
        <w:t>____________________________________________________________</w:t>
      </w:r>
    </w:p>
    <w:p>
      <w:pPr>
        <w:pStyle w:val="Heading2"/>
      </w:pPr>
      <w:r>
        <w:t>v3.0 Iteration — HIPAA Compliance Additions</w:t>
      </w:r>
    </w:p>
    <w:p>
      <w:pPr>
        <w:pStyle w:val="Heading3"/>
      </w:pPr>
      <w:r>
        <w:t>HIPAA Safe Harbor 18 Identifiers (Complete List)</w:t>
      </w:r>
    </w:p>
    <w:p>
      <w:r>
        <w:t>The HIPAA Safe Harbor de-identification method (45 CFR §164.514(b)) requires removal of 18 specific identifier categories. Consentext's identifier policy must cover all of these: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w:t>
            </w:r>
          </w:p>
        </w:tc>
        <w:tc>
          <w:tcPr>
            <w:tcW w:type="dxa" w:w="3120"/>
          </w:tcPr>
          <w:p>
            <w:r>
              <w:rPr>
                <w:b/>
                <w:sz w:val="20"/>
              </w:rPr>
              <w:t>Identifier Type</w:t>
            </w:r>
          </w:p>
        </w:tc>
        <w:tc>
          <w:tcPr>
            <w:tcW w:type="dxa" w:w="3120"/>
          </w:tcPr>
          <w:p>
            <w:r>
              <w:rPr>
                <w:b/>
                <w:sz w:val="20"/>
              </w:rPr>
              <w:t>Consentext Coverage</w:t>
            </w:r>
          </w:p>
        </w:tc>
      </w:tr>
      <w:tr>
        <w:tc>
          <w:tcPr>
            <w:tcW w:type="dxa" w:w="3120"/>
          </w:tcPr>
          <w:p>
            <w:r>
              <w:rPr>
                <w:sz w:val="20"/>
              </w:rPr>
              <w:t>1</w:t>
            </w:r>
          </w:p>
        </w:tc>
        <w:tc>
          <w:tcPr>
            <w:tcW w:type="dxa" w:w="3120"/>
          </w:tcPr>
          <w:p>
            <w:r>
              <w:rPr>
                <w:sz w:val="20"/>
              </w:rPr>
              <w:t>Names</w:t>
            </w:r>
          </w:p>
        </w:tc>
        <w:tc>
          <w:tcPr>
            <w:tcW w:type="dxa" w:w="3120"/>
          </w:tcPr>
          <w:p>
            <w:r>
              <w:rPr>
                <w:sz w:val="20"/>
              </w:rPr>
              <w:t>Covered (Identity Pod, hard block for AI)</w:t>
            </w:r>
          </w:p>
        </w:tc>
      </w:tr>
      <w:tr>
        <w:tc>
          <w:tcPr>
            <w:tcW w:type="dxa" w:w="3120"/>
          </w:tcPr>
          <w:p>
            <w:r>
              <w:rPr>
                <w:sz w:val="20"/>
              </w:rPr>
              <w:t>2</w:t>
            </w:r>
          </w:p>
        </w:tc>
        <w:tc>
          <w:tcPr>
            <w:tcW w:type="dxa" w:w="3120"/>
          </w:tcPr>
          <w:p>
            <w:r>
              <w:rPr>
                <w:sz w:val="20"/>
              </w:rPr>
              <w:t>Geographic data smaller than state</w:t>
            </w:r>
          </w:p>
        </w:tc>
        <w:tc>
          <w:tcPr>
            <w:tcW w:type="dxa" w:w="3120"/>
          </w:tcPr>
          <w:p>
            <w:r>
              <w:rPr>
                <w:sz w:val="20"/>
              </w:rPr>
              <w:t>Must verify not embedded in records/biomarker docs</w:t>
            </w:r>
          </w:p>
        </w:tc>
      </w:tr>
      <w:tr>
        <w:tc>
          <w:tcPr>
            <w:tcW w:type="dxa" w:w="3120"/>
          </w:tcPr>
          <w:p>
            <w:r>
              <w:rPr>
                <w:sz w:val="20"/>
              </w:rPr>
              <w:t>3</w:t>
            </w:r>
          </w:p>
        </w:tc>
        <w:tc>
          <w:tcPr>
            <w:tcW w:type="dxa" w:w="3120"/>
          </w:tcPr>
          <w:p>
            <w:r>
              <w:rPr>
                <w:sz w:val="20"/>
              </w:rPr>
              <w:t>Dates (except year) for individuals</w:t>
            </w:r>
          </w:p>
        </w:tc>
        <w:tc>
          <w:tcPr>
            <w:tcW w:type="dxa" w:w="3120"/>
          </w:tcPr>
          <w:p>
            <w:r>
              <w:rPr>
                <w:sz w:val="20"/>
              </w:rPr>
              <w:t>Must strip from AI export; lab dates need review</w:t>
            </w:r>
          </w:p>
        </w:tc>
      </w:tr>
      <w:tr>
        <w:tc>
          <w:tcPr>
            <w:tcW w:type="dxa" w:w="3120"/>
          </w:tcPr>
          <w:p>
            <w:r>
              <w:rPr>
                <w:sz w:val="20"/>
              </w:rPr>
              <w:t>4</w:t>
            </w:r>
          </w:p>
        </w:tc>
        <w:tc>
          <w:tcPr>
            <w:tcW w:type="dxa" w:w="3120"/>
          </w:tcPr>
          <w:p>
            <w:r>
              <w:rPr>
                <w:sz w:val="20"/>
              </w:rPr>
              <w:t>Phone numbers</w:t>
            </w:r>
          </w:p>
        </w:tc>
        <w:tc>
          <w:tcPr>
            <w:tcW w:type="dxa" w:w="3120"/>
          </w:tcPr>
          <w:p>
            <w:r>
              <w:rPr>
                <w:sz w:val="20"/>
              </w:rPr>
              <w:t>Covered (Identity Pod)</w:t>
            </w:r>
          </w:p>
        </w:tc>
      </w:tr>
      <w:tr>
        <w:tc>
          <w:tcPr>
            <w:tcW w:type="dxa" w:w="3120"/>
          </w:tcPr>
          <w:p>
            <w:r>
              <w:rPr>
                <w:sz w:val="20"/>
              </w:rPr>
              <w:t>5</w:t>
            </w:r>
          </w:p>
        </w:tc>
        <w:tc>
          <w:tcPr>
            <w:tcW w:type="dxa" w:w="3120"/>
          </w:tcPr>
          <w:p>
            <w:r>
              <w:rPr>
                <w:sz w:val="20"/>
              </w:rPr>
              <w:t>Fax numbers</w:t>
            </w:r>
          </w:p>
        </w:tc>
        <w:tc>
          <w:tcPr>
            <w:tcW w:type="dxa" w:w="3120"/>
          </w:tcPr>
          <w:p>
            <w:r>
              <w:rPr>
                <w:sz w:val="20"/>
              </w:rPr>
              <w:t>Covered (Identity Pod)</w:t>
            </w:r>
          </w:p>
        </w:tc>
      </w:tr>
      <w:tr>
        <w:tc>
          <w:tcPr>
            <w:tcW w:type="dxa" w:w="3120"/>
          </w:tcPr>
          <w:p>
            <w:r>
              <w:rPr>
                <w:sz w:val="20"/>
              </w:rPr>
              <w:t>6</w:t>
            </w:r>
          </w:p>
        </w:tc>
        <w:tc>
          <w:tcPr>
            <w:tcW w:type="dxa" w:w="3120"/>
          </w:tcPr>
          <w:p>
            <w:r>
              <w:rPr>
                <w:sz w:val="20"/>
              </w:rPr>
              <w:t>Email addresses</w:t>
            </w:r>
          </w:p>
        </w:tc>
        <w:tc>
          <w:tcPr>
            <w:tcW w:type="dxa" w:w="3120"/>
          </w:tcPr>
          <w:p>
            <w:r>
              <w:rPr>
                <w:sz w:val="20"/>
              </w:rPr>
              <w:t>Covered (Identity Pod, explicit toggle only)</w:t>
            </w:r>
          </w:p>
        </w:tc>
      </w:tr>
      <w:tr>
        <w:tc>
          <w:tcPr>
            <w:tcW w:type="dxa" w:w="3120"/>
          </w:tcPr>
          <w:p>
            <w:r>
              <w:rPr>
                <w:sz w:val="20"/>
              </w:rPr>
              <w:t>7</w:t>
            </w:r>
          </w:p>
        </w:tc>
        <w:tc>
          <w:tcPr>
            <w:tcW w:type="dxa" w:w="3120"/>
          </w:tcPr>
          <w:p>
            <w:r>
              <w:rPr>
                <w:sz w:val="20"/>
              </w:rPr>
              <w:t>Social Security numbers</w:t>
            </w:r>
          </w:p>
        </w:tc>
        <w:tc>
          <w:tcPr>
            <w:tcW w:type="dxa" w:w="3120"/>
          </w:tcPr>
          <w:p>
            <w:r>
              <w:rPr>
                <w:sz w:val="20"/>
              </w:rPr>
              <w:t>Covered (never-share list)</w:t>
            </w:r>
          </w:p>
        </w:tc>
      </w:tr>
      <w:tr>
        <w:tc>
          <w:tcPr>
            <w:tcW w:type="dxa" w:w="3120"/>
          </w:tcPr>
          <w:p>
            <w:r>
              <w:rPr>
                <w:sz w:val="20"/>
              </w:rPr>
              <w:t>8</w:t>
            </w:r>
          </w:p>
        </w:tc>
        <w:tc>
          <w:tcPr>
            <w:tcW w:type="dxa" w:w="3120"/>
          </w:tcPr>
          <w:p>
            <w:r>
              <w:rPr>
                <w:sz w:val="20"/>
              </w:rPr>
              <w:t>Medical record numbers</w:t>
            </w:r>
          </w:p>
        </w:tc>
        <w:tc>
          <w:tcPr>
            <w:tcW w:type="dxa" w:w="3120"/>
          </w:tcPr>
          <w:p>
            <w:r>
              <w:rPr>
                <w:sz w:val="20"/>
              </w:rPr>
              <w:t>Covered (never-share list)</w:t>
            </w:r>
          </w:p>
        </w:tc>
      </w:tr>
      <w:tr>
        <w:tc>
          <w:tcPr>
            <w:tcW w:type="dxa" w:w="3120"/>
          </w:tcPr>
          <w:p>
            <w:r>
              <w:rPr>
                <w:sz w:val="20"/>
              </w:rPr>
              <w:t>9</w:t>
            </w:r>
          </w:p>
        </w:tc>
        <w:tc>
          <w:tcPr>
            <w:tcW w:type="dxa" w:w="3120"/>
          </w:tcPr>
          <w:p>
            <w:r>
              <w:rPr>
                <w:sz w:val="20"/>
              </w:rPr>
              <w:t>Health plan beneficiary numbers</w:t>
            </w:r>
          </w:p>
        </w:tc>
        <w:tc>
          <w:tcPr>
            <w:tcW w:type="dxa" w:w="3120"/>
          </w:tcPr>
          <w:p>
            <w:r>
              <w:rPr>
                <w:sz w:val="20"/>
              </w:rPr>
              <w:t>Covered (never-share list)</w:t>
            </w:r>
          </w:p>
        </w:tc>
      </w:tr>
      <w:tr>
        <w:tc>
          <w:tcPr>
            <w:tcW w:type="dxa" w:w="3120"/>
          </w:tcPr>
          <w:p>
            <w:r>
              <w:rPr>
                <w:sz w:val="20"/>
              </w:rPr>
              <w:t>10</w:t>
            </w:r>
          </w:p>
        </w:tc>
        <w:tc>
          <w:tcPr>
            <w:tcW w:type="dxa" w:w="3120"/>
          </w:tcPr>
          <w:p>
            <w:r>
              <w:rPr>
                <w:sz w:val="20"/>
              </w:rPr>
              <w:t>Account numbers</w:t>
            </w:r>
          </w:p>
        </w:tc>
        <w:tc>
          <w:tcPr>
            <w:tcW w:type="dxa" w:w="3120"/>
          </w:tcPr>
          <w:p>
            <w:r>
              <w:rPr>
                <w:sz w:val="20"/>
              </w:rPr>
              <w:t>Must add to never-share list</w:t>
            </w:r>
          </w:p>
        </w:tc>
      </w:tr>
      <w:tr>
        <w:tc>
          <w:tcPr>
            <w:tcW w:type="dxa" w:w="3120"/>
          </w:tcPr>
          <w:p>
            <w:r>
              <w:rPr>
                <w:sz w:val="20"/>
              </w:rPr>
              <w:t>11</w:t>
            </w:r>
          </w:p>
        </w:tc>
        <w:tc>
          <w:tcPr>
            <w:tcW w:type="dxa" w:w="3120"/>
          </w:tcPr>
          <w:p>
            <w:r>
              <w:rPr>
                <w:sz w:val="20"/>
              </w:rPr>
              <w:t>Certificate/license numbers</w:t>
            </w:r>
          </w:p>
        </w:tc>
        <w:tc>
          <w:tcPr>
            <w:tcW w:type="dxa" w:w="3120"/>
          </w:tcPr>
          <w:p>
            <w:r>
              <w:rPr>
                <w:sz w:val="20"/>
              </w:rPr>
              <w:t>Must add to never-share list</w:t>
            </w:r>
          </w:p>
        </w:tc>
      </w:tr>
      <w:tr>
        <w:tc>
          <w:tcPr>
            <w:tcW w:type="dxa" w:w="3120"/>
          </w:tcPr>
          <w:p>
            <w:r>
              <w:rPr>
                <w:sz w:val="20"/>
              </w:rPr>
              <w:t>12</w:t>
            </w:r>
          </w:p>
        </w:tc>
        <w:tc>
          <w:tcPr>
            <w:tcW w:type="dxa" w:w="3120"/>
          </w:tcPr>
          <w:p>
            <w:r>
              <w:rPr>
                <w:sz w:val="20"/>
              </w:rPr>
              <w:t>Vehicle identifiers</w:t>
            </w:r>
          </w:p>
        </w:tc>
        <w:tc>
          <w:tcPr>
            <w:tcW w:type="dxa" w:w="3120"/>
          </w:tcPr>
          <w:p>
            <w:r>
              <w:rPr>
                <w:sz w:val="20"/>
              </w:rPr>
              <w:t>Low risk for health vault; include for completeness</w:t>
            </w:r>
          </w:p>
        </w:tc>
      </w:tr>
      <w:tr>
        <w:tc>
          <w:tcPr>
            <w:tcW w:type="dxa" w:w="3120"/>
          </w:tcPr>
          <w:p>
            <w:r>
              <w:rPr>
                <w:sz w:val="20"/>
              </w:rPr>
              <w:t>13</w:t>
            </w:r>
          </w:p>
        </w:tc>
        <w:tc>
          <w:tcPr>
            <w:tcW w:type="dxa" w:w="3120"/>
          </w:tcPr>
          <w:p>
            <w:r>
              <w:rPr>
                <w:sz w:val="20"/>
              </w:rPr>
              <w:t>Device identifiers and serial numbers</w:t>
            </w:r>
          </w:p>
        </w:tc>
        <w:tc>
          <w:tcPr>
            <w:tcW w:type="dxa" w:w="3120"/>
          </w:tcPr>
          <w:p>
            <w:r>
              <w:rPr>
                <w:sz w:val="20"/>
              </w:rPr>
              <w:t>Wearable device IDs must be stripped from AI export</w:t>
            </w:r>
          </w:p>
        </w:tc>
      </w:tr>
      <w:tr>
        <w:tc>
          <w:tcPr>
            <w:tcW w:type="dxa" w:w="3120"/>
          </w:tcPr>
          <w:p>
            <w:r>
              <w:rPr>
                <w:sz w:val="20"/>
              </w:rPr>
              <w:t>14</w:t>
            </w:r>
          </w:p>
        </w:tc>
        <w:tc>
          <w:tcPr>
            <w:tcW w:type="dxa" w:w="3120"/>
          </w:tcPr>
          <w:p>
            <w:r>
              <w:rPr>
                <w:sz w:val="20"/>
              </w:rPr>
              <w:t>Web URLs</w:t>
            </w:r>
          </w:p>
        </w:tc>
        <w:tc>
          <w:tcPr>
            <w:tcW w:type="dxa" w:w="3120"/>
          </w:tcPr>
          <w:p>
            <w:r>
              <w:rPr>
                <w:sz w:val="20"/>
              </w:rPr>
              <w:t>Must strip from AI export bundles</w:t>
            </w:r>
          </w:p>
        </w:tc>
      </w:tr>
      <w:tr>
        <w:tc>
          <w:tcPr>
            <w:tcW w:type="dxa" w:w="3120"/>
          </w:tcPr>
          <w:p>
            <w:r>
              <w:rPr>
                <w:sz w:val="20"/>
              </w:rPr>
              <w:t>15</w:t>
            </w:r>
          </w:p>
        </w:tc>
        <w:tc>
          <w:tcPr>
            <w:tcW w:type="dxa" w:w="3120"/>
          </w:tcPr>
          <w:p>
            <w:r>
              <w:rPr>
                <w:sz w:val="20"/>
              </w:rPr>
              <w:t>IP addresses</w:t>
            </w:r>
          </w:p>
        </w:tc>
        <w:tc>
          <w:tcPr>
            <w:tcW w:type="dxa" w:w="3120"/>
          </w:tcPr>
          <w:p>
            <w:r>
              <w:rPr>
                <w:sz w:val="20"/>
              </w:rPr>
              <w:t>Must not appear in any outbound context</w:t>
            </w:r>
          </w:p>
        </w:tc>
      </w:tr>
      <w:tr>
        <w:tc>
          <w:tcPr>
            <w:tcW w:type="dxa" w:w="3120"/>
          </w:tcPr>
          <w:p>
            <w:r>
              <w:rPr>
                <w:sz w:val="20"/>
              </w:rPr>
              <w:t>16</w:t>
            </w:r>
          </w:p>
        </w:tc>
        <w:tc>
          <w:tcPr>
            <w:tcW w:type="dxa" w:w="3120"/>
          </w:tcPr>
          <w:p>
            <w:r>
              <w:rPr>
                <w:sz w:val="20"/>
              </w:rPr>
              <w:t>Biometric identifiers</w:t>
            </w:r>
          </w:p>
        </w:tc>
        <w:tc>
          <w:tcPr>
            <w:tcW w:type="dxa" w:w="3120"/>
          </w:tcPr>
          <w:p>
            <w:r>
              <w:rPr>
                <w:sz w:val="20"/>
              </w:rPr>
              <w:t>Covered (never-share list)</w:t>
            </w:r>
          </w:p>
        </w:tc>
      </w:tr>
      <w:tr>
        <w:tc>
          <w:tcPr>
            <w:tcW w:type="dxa" w:w="3120"/>
          </w:tcPr>
          <w:p>
            <w:r>
              <w:rPr>
                <w:sz w:val="20"/>
              </w:rPr>
              <w:t>17</w:t>
            </w:r>
          </w:p>
        </w:tc>
        <w:tc>
          <w:tcPr>
            <w:tcW w:type="dxa" w:w="3120"/>
          </w:tcPr>
          <w:p>
            <w:r>
              <w:rPr>
                <w:sz w:val="20"/>
              </w:rPr>
              <w:t>Full-face photographs</w:t>
            </w:r>
          </w:p>
        </w:tc>
        <w:tc>
          <w:tcPr>
            <w:tcW w:type="dxa" w:w="3120"/>
          </w:tcPr>
          <w:p>
            <w:r>
              <w:rPr>
                <w:sz w:val="20"/>
              </w:rPr>
              <w:t>Covered (never-share list)</w:t>
            </w:r>
          </w:p>
        </w:tc>
      </w:tr>
      <w:tr>
        <w:tc>
          <w:tcPr>
            <w:tcW w:type="dxa" w:w="3120"/>
          </w:tcPr>
          <w:p>
            <w:r>
              <w:rPr>
                <w:sz w:val="20"/>
              </w:rPr>
              <w:t>18</w:t>
            </w:r>
          </w:p>
        </w:tc>
        <w:tc>
          <w:tcPr>
            <w:tcW w:type="dxa" w:w="3120"/>
          </w:tcPr>
          <w:p>
            <w:r>
              <w:rPr>
                <w:sz w:val="20"/>
              </w:rPr>
              <w:t>Any other unique identifying number</w:t>
            </w:r>
          </w:p>
        </w:tc>
        <w:tc>
          <w:tcPr>
            <w:tcW w:type="dxa" w:w="3120"/>
          </w:tcPr>
          <w:p>
            <w:r>
              <w:rPr>
                <w:sz w:val="20"/>
              </w:rPr>
              <w:t>Catch-all; requires review of each data source</w:t>
            </w:r>
          </w:p>
        </w:tc>
      </w:tr>
    </w:tbl>
    <w:p/>
    <w:p>
      <w:r/>
      <w:r>
        <w:rPr>
          <w:b/>
        </w:rPr>
        <w:t>Action items:</w:t>
      </w:r>
      <w:r/>
    </w:p>
    <w:p>
      <w:pPr>
        <w:pStyle w:val="ListBullet"/>
      </w:pPr>
      <w:r>
        <w:t>Update the never-share identifier list in §8.1 to explicitly include all 18 categories</w:t>
      </w:r>
    </w:p>
    <w:p>
      <w:pPr>
        <w:pStyle w:val="ListBullet"/>
      </w:pPr>
      <w:r>
        <w:t>Add automated Safe Harbor verification to the context preparation pipeline (Spec 02, Step 5)</w:t>
      </w:r>
    </w:p>
    <w:p>
      <w:pPr>
        <w:pStyle w:val="ListBullet"/>
      </w:pPr>
      <w:r>
        <w:t>Document the de-identification methodology and retain for 6 years per HIPAA</w:t>
      </w:r>
    </w:p>
    <w:p>
      <w:pPr>
        <w:pStyle w:val="Heading3"/>
      </w:pPr>
      <w:r>
        <w:t>HIPAA Individual Rights Mapping</w:t>
      </w:r>
    </w:p>
    <w:p>
      <w:r>
        <w:t>HIPAA grants individuals specific rights over their PHI. Consentext's consent and sharing features must support these rights:</w:t>
      </w:r>
    </w:p>
    <w:p>
      <w:r/>
      <w:r>
        <w:rPr>
          <w:b/>
        </w:rPr>
        <w:t>Right of Access (§164.524):</w:t>
      </w:r>
      <w:r/>
    </w:p>
    <w:p>
      <w:pPr>
        <w:pStyle w:val="ListBullet"/>
      </w:pPr>
      <w:r>
        <w:t>Users can view all data in their vault at any time</w:t>
      </w:r>
    </w:p>
    <w:p>
      <w:pPr>
        <w:pStyle w:val="ListBullet"/>
      </w:pPr>
      <w:r>
        <w:t>Users can export their data in a readily producible electronic format</w:t>
      </w:r>
    </w:p>
    <w:p>
      <w:pPr>
        <w:pStyle w:val="ListBullet"/>
      </w:pPr>
      <w:r>
        <w:t>Consentext must respond to access requests within 30 days (extendable by 30 days with notice)</w:t>
      </w:r>
    </w:p>
    <w:p>
      <w:r/>
      <w:r>
        <w:rPr>
          <w:b/>
        </w:rPr>
        <w:t>Right to Amendment (§164.526):</w:t>
      </w:r>
      <w:r/>
    </w:p>
    <w:p>
      <w:pPr>
        <w:pStyle w:val="ListBullet"/>
      </w:pPr>
      <w:r>
        <w:t>Users can request correction of data in their vault</w:t>
      </w:r>
    </w:p>
    <w:p>
      <w:pPr>
        <w:pStyle w:val="ListBullet"/>
      </w:pPr>
      <w:r>
        <w:t>VaultItem update/versioning (Spec 01 §6.2) supports this</w:t>
      </w:r>
    </w:p>
    <w:p>
      <w:pPr>
        <w:pStyle w:val="ListBullet"/>
      </w:pPr>
      <w:r>
        <w:t>If amendment is denied (e.g., data sourced from an external system), Consentext must allow the user to append a disagreement statement</w:t>
      </w:r>
    </w:p>
    <w:p>
      <w:r/>
      <w:r>
        <w:rPr>
          <w:b/>
        </w:rPr>
        <w:t>Right to an Accounting of Disclosures (§164.528):</w:t>
      </w:r>
      <w:r/>
    </w:p>
    <w:p>
      <w:pPr>
        <w:pStyle w:val="ListBullet"/>
      </w:pPr>
      <w:r>
        <w:t>The user-facing audit viewer (Spec 06) serves as the accounting of disclosures</w:t>
      </w:r>
    </w:p>
    <w:p>
      <w:pPr>
        <w:pStyle w:val="ListBullet"/>
      </w:pPr>
      <w:r>
        <w:t>Must cover disclosures from the prior 6 years (aligns with updated audit retention)</w:t>
      </w:r>
    </w:p>
    <w:p>
      <w:pPr>
        <w:pStyle w:val="ListBullet"/>
      </w:pPr>
      <w:r>
        <w:t>Must include: date of disclosure, recipient name/description, description of PHI disclosed, purpose</w:t>
      </w:r>
    </w:p>
    <w:p>
      <w:r/>
      <w:r>
        <w:rPr>
          <w:b/>
        </w:rPr>
        <w:t>Right to Request Restrictions (§164.522):</w:t>
      </w:r>
      <w:r/>
    </w:p>
    <w:p>
      <w:pPr>
        <w:pStyle w:val="ListBullet"/>
      </w:pPr>
      <w:r>
        <w:t>Users can request restrictions on disclosures — Consentext's consent model inherently supports this (consent is opt-in, shares are revocable)</w:t>
      </w:r>
    </w:p>
    <w:p>
      <w:pPr>
        <w:pStyle w:val="ListBullet"/>
      </w:pPr>
      <w:r>
        <w:t>If a user requests a restriction on disclosures to a health plan for services paid out of pocket, Consentext must honor it</w:t>
      </w:r>
    </w:p>
    <w:p>
      <w:r/>
      <w:r>
        <w:rPr>
          <w:b/>
        </w:rPr>
        <w:t>Right to Receive Breach Notification (§164.404):</w:t>
      </w:r>
      <w:r/>
    </w:p>
    <w:p>
      <w:pPr>
        <w:pStyle w:val="ListBullet"/>
      </w:pPr>
      <w:r>
        <w:t>See `00_Regulatory_Compliance_Posture.md` §5 for breach notification procedures</w:t>
      </w:r>
    </w:p>
    <w:p>
      <w:pPr>
        <w:pStyle w:val="Heading3"/>
      </w:pPr>
      <w:r>
        <w:t>Minimum Necessary Standard Alignment</w:t>
      </w:r>
    </w:p>
    <w:p>
      <w:r>
        <w:t>HIPAA's Minimum Necessary Standard (§164.502(b)) requires limiting PHI use and disclosure to the minimum necessary for the purpose. Consentext's architecture already supports this through:</w:t>
      </w:r>
    </w:p>
    <w:p>
      <w:pPr>
        <w:pStyle w:val="ListBullet"/>
      </w:pPr>
      <w:r/>
      <w:r>
        <w:rPr>
          <w:b/>
        </w:rPr>
        <w:t>Derived-first defaults:</w:t>
      </w:r>
      <w:r>
        <w:t xml:space="preserve"> Outbound data is summarized by default</w:t>
      </w:r>
    </w:p>
    <w:p>
      <w:pPr>
        <w:pStyle w:val="ListBullet"/>
      </w:pPr>
      <w:r/>
      <w:r>
        <w:rPr>
          <w:b/>
        </w:rPr>
        <w:t>Scope restrictions:</w:t>
      </w:r>
      <w:r>
        <w:t xml:space="preserve"> Pod, category, and time window constraints limit disclosure</w:t>
      </w:r>
    </w:p>
    <w:p>
      <w:pPr>
        <w:pStyle w:val="ListBullet"/>
      </w:pPr>
      <w:r/>
      <w:r>
        <w:rPr>
          <w:b/>
        </w:rPr>
        <w:t>Purpose labels:</w:t>
      </w:r>
      <w:r>
        <w:t xml:space="preserve"> Purpose enforcement (Level 2) ensures data is only used for the stated purpose</w:t>
      </w:r>
    </w:p>
    <w:p>
      <w:pPr>
        <w:pStyle w:val="ListBullet"/>
      </w:pPr>
      <w:r/>
      <w:r>
        <w:rPr>
          <w:b/>
        </w:rPr>
        <w:t>Granularity controls:</w:t>
      </w:r>
      <w:r>
        <w:t xml:space="preserve"> `derived_summaries_only` vs `raw_allowed_by_explicit_toggle`</w:t>
      </w:r>
    </w:p>
    <w:p>
      <w:r>
        <w:t>This is a key compliance advantage. Document this alignment in compliance records and reference it during risk analyses.</w:t>
      </w:r>
    </w:p>
    <w:p>
      <w:pPr>
        <w:pStyle w:val="Heading3"/>
      </w:pPr>
      <w:r>
        <w:t>Cross-Reference</w:t>
      </w:r>
    </w:p>
    <w:p>
      <w:r>
        <w:t xml:space="preserve">See </w:t>
      </w:r>
      <w:r>
        <w:rPr>
          <w:rFonts w:ascii="Consolas" w:hAnsi="Consolas"/>
          <w:color w:val="800000"/>
          <w:sz w:val="20"/>
        </w:rPr>
        <w:t>00_Regulatory_Compliance_Posture.md</w:t>
      </w:r>
      <w:r>
        <w:t xml:space="preserve"> for the full HIPAA regulatory framework, including BAA requirements, breach notification, and workforce training.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