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Consentext — HIPAA Compliance &amp; Regulatory Readiness</w:t>
      </w:r>
    </w:p>
    <w:p>
      <w:r/>
      <w:r>
        <w:rPr>
          <w:b/>
        </w:rPr>
        <w:t>Investor Overview — v1.0</w:t>
      </w:r>
      <w:r/>
    </w:p>
    <w:p>
      <w:r>
        <w:t>____________________________________________________________</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Version</w:t>
            </w:r>
          </w:p>
        </w:tc>
        <w:tc>
          <w:tcPr>
            <w:tcW w:type="dxa" w:w="2340"/>
          </w:tcPr>
          <w:p>
            <w:r>
              <w:rPr>
                <w:b/>
                <w:sz w:val="20"/>
              </w:rPr>
              <w:t>Author</w:t>
            </w:r>
          </w:p>
        </w:tc>
        <w:tc>
          <w:tcPr>
            <w:tcW w:type="dxa" w:w="2340"/>
          </w:tcPr>
          <w:p>
            <w:r>
              <w:rPr>
                <w:b/>
                <w:sz w:val="20"/>
              </w:rPr>
              <w:t>Date</w:t>
            </w:r>
          </w:p>
        </w:tc>
        <w:tc>
          <w:tcPr>
            <w:tcW w:type="dxa" w:w="2340"/>
          </w:tcPr>
          <w:p>
            <w:r>
              <w:rPr>
                <w:b/>
                <w:sz w:val="20"/>
              </w:rPr>
              <w:t>Notes</w:t>
            </w:r>
          </w:p>
        </w:tc>
      </w:tr>
      <w:tr>
        <w:tc>
          <w:tcPr>
            <w:tcW w:type="dxa" w:w="2340"/>
          </w:tcPr>
          <w:p>
            <w:r>
              <w:rPr>
                <w:sz w:val="20"/>
              </w:rPr>
              <w:t>v1.0</w:t>
            </w:r>
          </w:p>
        </w:tc>
        <w:tc>
          <w:tcPr>
            <w:tcW w:type="dxa" w:w="2340"/>
          </w:tcPr>
          <w:p>
            <w:r>
              <w:rPr>
                <w:sz w:val="20"/>
              </w:rPr>
              <w:t>Huy Nguyen</w:t>
            </w:r>
          </w:p>
        </w:tc>
        <w:tc>
          <w:tcPr>
            <w:tcW w:type="dxa" w:w="2340"/>
          </w:tcPr>
          <w:p>
            <w:r>
              <w:rPr>
                <w:sz w:val="20"/>
              </w:rPr>
              <w:t>02.16.26</w:t>
            </w:r>
          </w:p>
        </w:tc>
        <w:tc>
          <w:tcPr>
            <w:tcW w:type="dxa" w:w="2340"/>
          </w:tcPr>
          <w:p>
            <w:r>
              <w:rPr>
                <w:sz w:val="20"/>
              </w:rPr>
              <w:t>Initial HIPAA compliance investor overview</w:t>
            </w:r>
          </w:p>
        </w:tc>
      </w:tr>
    </w:tbl>
    <w:p/>
    <w:p>
      <w:r>
        <w:t>____________________________________________________________</w:t>
      </w:r>
    </w:p>
    <w:p>
      <w:pPr>
        <w:pStyle w:val="Heading2"/>
      </w:pPr>
      <w:r>
        <w:t>Why This Matters</w:t>
      </w:r>
    </w:p>
    <w:p>
      <w:r>
        <w:t>Health data is the most regulated category of personal information in the United States. Any company that touches it — stores it, moves it, processes it — has to meet a specific set of rules. Those rules are called HIPAA.</w:t>
      </w:r>
    </w:p>
    <w:p>
      <w:r>
        <w:t>Consentext is building a platform where people store their most sensitive health data and choose who gets to see it. If we want clinics, insurance companies, and labs to trust our platform, we have to prove we meet the standard. If we want users to trust us, we should exceed it.</w:t>
      </w:r>
    </w:p>
    <w:p>
      <w:r>
        <w:t>This document explains how Consentext approaches HIPAA compliance — not as a checkbox, but as a core part of the product.</w:t>
      </w:r>
    </w:p>
    <w:p>
      <w:r>
        <w:t>____________________________________________________________</w:t>
      </w:r>
    </w:p>
    <w:p>
      <w:pPr>
        <w:pStyle w:val="Heading2"/>
      </w:pPr>
      <w:r>
        <w:t>Consentext's Regulatory Position</w:t>
      </w:r>
    </w:p>
    <w:p>
      <w:r>
        <w:t>Consentext sits in two regulatory worlds depending on who is using it:</w:t>
      </w:r>
    </w:p>
    <w:p>
      <w:pPr>
        <w:pStyle w:val="Heading3"/>
      </w:pPr>
      <w:r>
        <w:t>Consumer Vault — When Users Manage Their Own Data</w:t>
      </w:r>
    </w:p>
    <w:p>
      <w:r>
        <w:t>When someone downloads Consentext and uploads their own lab results or connects their Fitbit, no clinic or insurance company is involved. In that case, HIPAA may not technically apply — the same way HIPAA doesn't apply to your personal health notes app.</w:t>
      </w:r>
    </w:p>
    <w:p>
      <w:r>
        <w:t>But here's the thing: we build to the HIPAA standard anyway. Because when the clinical portal launches and hospitals start connecting, we don't want to retrofit security and compliance into an existing system. That never works well and it never looks good to auditors.</w:t>
      </w:r>
    </w:p>
    <w:p>
      <w:r>
        <w:t>Building to the higher standard from day one means every user — consumer or clinical — gets the same level of protection.</w:t>
      </w:r>
    </w:p>
    <w:p>
      <w:pPr>
        <w:pStyle w:val="Heading3"/>
      </w:pPr>
      <w:r>
        <w:t>Clinical Portal — When Clinics, Labs, and Insurers Connect</w:t>
      </w:r>
    </w:p>
    <w:p>
      <w:r>
        <w:t xml:space="preserve">When Consentext connects with a clinic, lab, or insurance company through our planned clinical portal, HIPAA applies fully. Consentext becomes what's called a </w:t>
      </w:r>
      <w:r>
        <w:rPr>
          <w:b/>
        </w:rPr>
        <w:t>Business Associate</w:t>
      </w:r>
      <w:r>
        <w:t xml:space="preserve"> — a company that handles protected health information on behalf of a healthcare provider.</w:t>
      </w:r>
    </w:p>
    <w:p>
      <w:r>
        <w:t>That means we need:</w:t>
      </w:r>
    </w:p>
    <w:p>
      <w:pPr>
        <w:pStyle w:val="ListBullet"/>
      </w:pPr>
      <w:r>
        <w:t>Signed legal agreements (Business Associate Agreements) with every covered entity</w:t>
      </w:r>
    </w:p>
    <w:p>
      <w:pPr>
        <w:pStyle w:val="ListBullet"/>
      </w:pPr>
      <w:r>
        <w:t>A formal security program with a designated officer</w:t>
      </w:r>
    </w:p>
    <w:p>
      <w:pPr>
        <w:pStyle w:val="ListBullet"/>
      </w:pPr>
      <w:r>
        <w:t>Documented policies and procedures</w:t>
      </w:r>
    </w:p>
    <w:p>
      <w:pPr>
        <w:pStyle w:val="ListBullet"/>
      </w:pPr>
      <w:r>
        <w:t>Breach notification capabilities</w:t>
      </w:r>
    </w:p>
    <w:p>
      <w:pPr>
        <w:pStyle w:val="ListBullet"/>
      </w:pPr>
      <w:r>
        <w:t>Workforce training</w:t>
      </w:r>
    </w:p>
    <w:p>
      <w:pPr>
        <w:pStyle w:val="ListBullet"/>
      </w:pPr>
      <w:r>
        <w:t>Annual risk analysis and compliance audits</w:t>
      </w:r>
    </w:p>
    <w:p>
      <w:r>
        <w:t>We've already documented all of these requirements and mapped them to our architecture.</w:t>
      </w:r>
    </w:p>
    <w:p>
      <w:r>
        <w:t>____________________________________________________________</w:t>
      </w:r>
    </w:p>
    <w:p>
      <w:pPr>
        <w:pStyle w:val="Heading2"/>
      </w:pPr>
      <w:r>
        <w:t>What We've Already Built Toward HIPAA</w:t>
      </w:r>
    </w:p>
    <w:p>
      <w:r>
        <w:t>Consentext's architecture was designed with privacy and consent at its core. Many of the things HIPAA requires, we were already building — because they're the right way to handle sensitive data.</w:t>
      </w:r>
    </w:p>
    <w:p>
      <w:r>
        <w:t>Here's how our existing features map to what HIPAA demands: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What HIPAA Requires</w:t>
            </w:r>
          </w:p>
        </w:tc>
        <w:tc>
          <w:tcPr>
            <w:tcW w:type="dxa" w:w="4680"/>
          </w:tcPr>
          <w:p>
            <w:r>
              <w:rPr>
                <w:b/>
                <w:sz w:val="20"/>
              </w:rPr>
              <w:t>What Consentext Already Does</w:t>
            </w:r>
          </w:p>
        </w:tc>
      </w:tr>
      <w:tr>
        <w:tc>
          <w:tcPr>
            <w:tcW w:type="dxa" w:w="4680"/>
          </w:tcPr>
          <w:p>
            <w:r>
              <w:rPr>
                <w:sz w:val="20"/>
              </w:rPr>
              <w:t>Encryption at rest</w:t>
            </w:r>
          </w:p>
        </w:tc>
        <w:tc>
          <w:tcPr>
            <w:tcW w:type="dxa" w:w="4680"/>
          </w:tcPr>
          <w:p>
            <w:r>
              <w:rPr>
                <w:sz w:val="20"/>
              </w:rPr>
              <w:t>Envelope encryption with per-user keys, managed by KMS (AES-256)</w:t>
            </w:r>
          </w:p>
        </w:tc>
      </w:tr>
      <w:tr>
        <w:tc>
          <w:tcPr>
            <w:tcW w:type="dxa" w:w="4680"/>
          </w:tcPr>
          <w:p>
            <w:r>
              <w:rPr>
                <w:sz w:val="20"/>
              </w:rPr>
              <w:t>Encryption in transit</w:t>
            </w:r>
          </w:p>
        </w:tc>
        <w:tc>
          <w:tcPr>
            <w:tcW w:type="dxa" w:w="4680"/>
          </w:tcPr>
          <w:p>
            <w:r>
              <w:rPr>
                <w:sz w:val="20"/>
              </w:rPr>
              <w:t>TLS 1.2 minimum on all connections, TLS 1.0/1.1 disabled</w:t>
            </w:r>
          </w:p>
        </w:tc>
      </w:tr>
      <w:tr>
        <w:tc>
          <w:tcPr>
            <w:tcW w:type="dxa" w:w="4680"/>
          </w:tcPr>
          <w:p>
            <w:r>
              <w:rPr>
                <w:sz w:val="20"/>
              </w:rPr>
              <w:t>Access controls</w:t>
            </w:r>
          </w:p>
        </w:tc>
        <w:tc>
          <w:tcPr>
            <w:tcW w:type="dxa" w:w="4680"/>
          </w:tcPr>
          <w:p>
            <w:r>
              <w:rPr>
                <w:sz w:val="20"/>
              </w:rPr>
              <w:t>Consent-based, role-based, fail-closed. No data leaves without a policy match.</w:t>
            </w:r>
          </w:p>
        </w:tc>
      </w:tr>
      <w:tr>
        <w:tc>
          <w:tcPr>
            <w:tcW w:type="dxa" w:w="4680"/>
          </w:tcPr>
          <w:p>
            <w:r>
              <w:rPr>
                <w:sz w:val="20"/>
              </w:rPr>
              <w:t>Audit trail</w:t>
            </w:r>
          </w:p>
        </w:tc>
        <w:tc>
          <w:tcPr>
            <w:tcW w:type="dxa" w:w="4680"/>
          </w:tcPr>
          <w:p>
            <w:r>
              <w:rPr>
                <w:sz w:val="20"/>
              </w:rPr>
              <w:t>Append-only audit ledger. Every access — approved or denied — logged with who, what, when, why.</w:t>
            </w:r>
          </w:p>
        </w:tc>
      </w:tr>
      <w:tr>
        <w:tc>
          <w:tcPr>
            <w:tcW w:type="dxa" w:w="4680"/>
          </w:tcPr>
          <w:p>
            <w:r>
              <w:rPr>
                <w:sz w:val="20"/>
              </w:rPr>
              <w:t>Minimum necessary disclosure</w:t>
            </w:r>
          </w:p>
        </w:tc>
        <w:tc>
          <w:tcPr>
            <w:tcW w:type="dxa" w:w="4680"/>
          </w:tcPr>
          <w:p>
            <w:r>
              <w:rPr>
                <w:sz w:val="20"/>
              </w:rPr>
              <w:t>Derived-first architecture. Agents and apps receive summaries by default, not raw data.</w:t>
            </w:r>
          </w:p>
        </w:tc>
      </w:tr>
      <w:tr>
        <w:tc>
          <w:tcPr>
            <w:tcW w:type="dxa" w:w="4680"/>
          </w:tcPr>
          <w:p>
            <w:r>
              <w:rPr>
                <w:sz w:val="20"/>
              </w:rPr>
              <w:t>De-identification</w:t>
            </w:r>
          </w:p>
        </w:tc>
        <w:tc>
          <w:tcPr>
            <w:tcW w:type="dxa" w:w="4680"/>
          </w:tcPr>
          <w:p>
            <w:r>
              <w:rPr>
                <w:sz w:val="20"/>
              </w:rPr>
              <w:t>Safe Harbor method. All 18 HIPAA identifier types stripped from AI exports.</w:t>
            </w:r>
          </w:p>
        </w:tc>
      </w:tr>
      <w:tr>
        <w:tc>
          <w:tcPr>
            <w:tcW w:type="dxa" w:w="4680"/>
          </w:tcPr>
          <w:p>
            <w:r>
              <w:rPr>
                <w:sz w:val="20"/>
              </w:rPr>
              <w:t>Individual right of access</w:t>
            </w:r>
          </w:p>
        </w:tc>
        <w:tc>
          <w:tcPr>
            <w:tcW w:type="dxa" w:w="4680"/>
          </w:tcPr>
          <w:p>
            <w:r>
              <w:rPr>
                <w:sz w:val="20"/>
              </w:rPr>
              <w:t>Users can view all their vault data at any time and export it.</w:t>
            </w:r>
          </w:p>
        </w:tc>
      </w:tr>
      <w:tr>
        <w:tc>
          <w:tcPr>
            <w:tcW w:type="dxa" w:w="4680"/>
          </w:tcPr>
          <w:p>
            <w:r>
              <w:rPr>
                <w:sz w:val="20"/>
              </w:rPr>
              <w:t>Accounting of disclosures</w:t>
            </w:r>
          </w:p>
        </w:tc>
        <w:tc>
          <w:tcPr>
            <w:tcW w:type="dxa" w:w="4680"/>
          </w:tcPr>
          <w:p>
            <w:r>
              <w:rPr>
                <w:sz w:val="20"/>
              </w:rPr>
              <w:t>User-facing audit viewer shows 6 years of access history.</w:t>
            </w:r>
          </w:p>
        </w:tc>
      </w:tr>
      <w:tr>
        <w:tc>
          <w:tcPr>
            <w:tcW w:type="dxa" w:w="4680"/>
          </w:tcPr>
          <w:p>
            <w:r>
              <w:rPr>
                <w:sz w:val="20"/>
              </w:rPr>
              <w:t>Right to revoke</w:t>
            </w:r>
          </w:p>
        </w:tc>
        <w:tc>
          <w:tcPr>
            <w:tcW w:type="dxa" w:w="4680"/>
          </w:tcPr>
          <w:p>
            <w:r>
              <w:rPr>
                <w:sz w:val="20"/>
              </w:rPr>
              <w:t>Consent is revocable instantly. Tokens are short-lived. Revocation is immediate.</w:t>
            </w:r>
          </w:p>
        </w:tc>
      </w:tr>
      <w:tr>
        <w:tc>
          <w:tcPr>
            <w:tcW w:type="dxa" w:w="4680"/>
          </w:tcPr>
          <w:p>
            <w:r>
              <w:rPr>
                <w:sz w:val="20"/>
              </w:rPr>
              <w:t>Automatic session termination</w:t>
            </w:r>
          </w:p>
        </w:tc>
        <w:tc>
          <w:tcPr>
            <w:tcW w:type="dxa" w:w="4680"/>
          </w:tcPr>
          <w:p>
            <w:r>
              <w:rPr>
                <w:sz w:val="20"/>
              </w:rPr>
              <w:t>Sessions time out after inactivity. Configurable per context (clinical vs consumer).</w:t>
            </w:r>
          </w:p>
        </w:tc>
      </w:tr>
      <w:tr>
        <w:tc>
          <w:tcPr>
            <w:tcW w:type="dxa" w:w="4680"/>
          </w:tcPr>
          <w:p>
            <w:r>
              <w:rPr>
                <w:sz w:val="20"/>
              </w:rPr>
              <w:t>Emergency access</w:t>
            </w:r>
          </w:p>
        </w:tc>
        <w:tc>
          <w:tcPr>
            <w:tcW w:type="dxa" w:w="4680"/>
          </w:tcPr>
          <w:p>
            <w:r>
              <w:rPr>
                <w:sz w:val="20"/>
              </w:rPr>
              <w:t>Break-glass procedure defined — two-person approval, time-bound, fully audited.</w:t>
            </w:r>
          </w:p>
        </w:tc>
      </w:tr>
      <w:tr>
        <w:tc>
          <w:tcPr>
            <w:tcW w:type="dxa" w:w="4680"/>
          </w:tcPr>
          <w:p>
            <w:r>
              <w:rPr>
                <w:sz w:val="20"/>
              </w:rPr>
              <w:t>Contingency planning</w:t>
            </w:r>
          </w:p>
        </w:tc>
        <w:tc>
          <w:tcPr>
            <w:tcW w:type="dxa" w:w="4680"/>
          </w:tcPr>
          <w:p>
            <w:r>
              <w:rPr>
                <w:sz w:val="20"/>
              </w:rPr>
              <w:t>Backup, disaster recovery, and emergency operations plans documented.</w:t>
            </w:r>
          </w:p>
        </w:tc>
      </w:tr>
    </w:tbl>
    <w:p/>
    <w:p>
      <w:r>
        <w:t>Most health startups treat compliance as a Phase 2 or Phase 3 concern — something to worry about after the product ships. We're treating it as architecture. The compliance posture is baked into the vault's design, not bolted on afterward.</w:t>
      </w:r>
    </w:p>
    <w:p>
      <w:r>
        <w:t>____________________________________________________________</w:t>
      </w:r>
    </w:p>
    <w:p>
      <w:pPr>
        <w:pStyle w:val="Heading2"/>
      </w:pPr>
      <w:r>
        <w:t>The 6-Year Rule</w:t>
      </w:r>
    </w:p>
    <w:p>
      <w:r>
        <w:t xml:space="preserve">One of the most concrete HIPAA requirements is document retention. HIPAA requires that all compliance documentation — audit logs, policies, risk analyses, training records, agreements — be retained for </w:t>
      </w:r>
      <w:r>
        <w:rPr>
          <w:b/>
        </w:rPr>
        <w:t>6 years</w:t>
      </w:r>
      <w:r>
        <w:t>.</w:t>
      </w:r>
    </w:p>
    <w:p>
      <w:r>
        <w:t>Our audit system originally defaulted to 12-month retention. We've updated it to 6 years across every spec. This includes:</w:t>
      </w:r>
    </w:p>
    <w:p>
      <w:pPr>
        <w:pStyle w:val="ListBullet"/>
      </w:pPr>
      <w:r>
        <w:t>Every access decision (allowed or denied)</w:t>
      </w:r>
    </w:p>
    <w:p>
      <w:pPr>
        <w:pStyle w:val="ListBullet"/>
      </w:pPr>
      <w:r>
        <w:t>Every share created, revoked, or expired</w:t>
      </w:r>
    </w:p>
    <w:p>
      <w:pPr>
        <w:pStyle w:val="ListBullet"/>
      </w:pPr>
      <w:r>
        <w:t>Every policy change</w:t>
      </w:r>
    </w:p>
    <w:p>
      <w:pPr>
        <w:pStyle w:val="ListBullet"/>
      </w:pPr>
      <w:r>
        <w:t>Every login, logout, and session event</w:t>
      </w:r>
    </w:p>
    <w:p>
      <w:r>
        <w:t>This means a user — or an auditor — can look back 6 years and see exactly who accessed what, when, and why. That's not just compliance. That's a product feature.</w:t>
      </w:r>
    </w:p>
    <w:p>
      <w:r>
        <w:t>____________________________________________________________</w:t>
      </w:r>
    </w:p>
    <w:p>
      <w:pPr>
        <w:pStyle w:val="Heading2"/>
      </w:pPr>
      <w:r>
        <w:t>Business Associate Agreements</w:t>
      </w:r>
    </w:p>
    <w:p>
      <w:r>
        <w:t>Before any clinic, lab, or insurance company can connect to Consentext, they sign a Business Associate Agreement (BAA). This legal contract spells out:</w:t>
      </w:r>
    </w:p>
    <w:p>
      <w:pPr>
        <w:pStyle w:val="ListBullet"/>
      </w:pPr>
      <w:r>
        <w:t>What data Consentext can handle and why</w:t>
      </w:r>
    </w:p>
    <w:p>
      <w:pPr>
        <w:pStyle w:val="ListBullet"/>
      </w:pPr>
      <w:r>
        <w:t>Our obligation to protect it</w:t>
      </w:r>
    </w:p>
    <w:p>
      <w:pPr>
        <w:pStyle w:val="ListBullet"/>
      </w:pPr>
      <w:r>
        <w:t>Our obligation to report breaches</w:t>
      </w:r>
    </w:p>
    <w:p>
      <w:pPr>
        <w:pStyle w:val="ListBullet"/>
      </w:pPr>
      <w:r>
        <w:t>Our obligation to make records available for compliance audits</w:t>
      </w:r>
    </w:p>
    <w:p>
      <w:pPr>
        <w:pStyle w:val="ListBullet"/>
      </w:pPr>
      <w:r>
        <w:t>What happens to the data if the relationship ends</w:t>
      </w:r>
    </w:p>
    <w:p>
      <w:r>
        <w:t>Our cloud infrastructure provider (AWS) will also have a BAA in place before any real patient data enters the system.</w:t>
      </w:r>
    </w:p>
    <w:p>
      <w:r>
        <w:t>We're preparing a BAA template with healthcare legal counsel so we're ready to onboard clinical partners as soon as the portal is live.</w:t>
      </w:r>
    </w:p>
    <w:p>
      <w:r>
        <w:t>____________________________________________________________</w:t>
      </w:r>
    </w:p>
    <w:p>
      <w:pPr>
        <w:pStyle w:val="Heading2"/>
      </w:pPr>
      <w:r>
        <w:t>Breach Notification</w:t>
      </w:r>
    </w:p>
    <w:p>
      <w:r>
        <w:t>If something goes wrong — an unauthorized access, a data exposure, a security incident — HIPAA has strict timelines for notification:</w:t>
      </w:r>
    </w:p>
    <w:p>
      <w:pPr>
        <w:pStyle w:val="ListBullet"/>
      </w:pPr>
      <w:r/>
      <w:r>
        <w:rPr>
          <w:b/>
        </w:rPr>
        <w:t>Affected individuals:</w:t>
      </w:r>
      <w:r>
        <w:t xml:space="preserve"> within 60 days</w:t>
      </w:r>
    </w:p>
    <w:p>
      <w:pPr>
        <w:pStyle w:val="ListBullet"/>
      </w:pPr>
      <w:r/>
      <w:r>
        <w:rPr>
          <w:b/>
        </w:rPr>
        <w:t>HHS (the federal regulator):</w:t>
      </w:r>
      <w:r>
        <w:t xml:space="preserve"> within 60 days for large breaches</w:t>
      </w:r>
    </w:p>
    <w:p>
      <w:pPr>
        <w:pStyle w:val="ListBullet"/>
      </w:pPr>
      <w:r/>
      <w:r>
        <w:rPr>
          <w:b/>
        </w:rPr>
        <w:t>Media:</w:t>
      </w:r>
      <w:r>
        <w:t xml:space="preserve"> within 60 days if 500+ people in a state are affected</w:t>
      </w:r>
    </w:p>
    <w:p>
      <w:pPr>
        <w:pStyle w:val="ListBullet"/>
      </w:pPr>
      <w:r/>
      <w:r>
        <w:rPr>
          <w:b/>
        </w:rPr>
        <w:t>Clinical partners:</w:t>
      </w:r>
      <w:r>
        <w:t xml:space="preserve"> per BAA terms (typically 5-10 business days)</w:t>
      </w:r>
    </w:p>
    <w:p>
      <w:r>
        <w:t>We have a documented breach response plan that includes detection, assessment, notification templates, and post-incident review. The proposed 2025 HIPAA update may shorten the notification window to 30 days — we're planning to meet that shorter deadline proactively.</w:t>
      </w:r>
    </w:p>
    <w:p>
      <w:r>
        <w:t xml:space="preserve">There's also a protection called </w:t>
      </w:r>
      <w:r>
        <w:rPr>
          <w:b/>
        </w:rPr>
        <w:t>Safe Harbor</w:t>
      </w:r>
      <w:r>
        <w:t>: if the data that was breached was properly encrypted (AES-256 at rest, TLS 1.2+ in transit) and the encryption keys were not compromised, it doesn't count as an "unsecured breach" and notification isn't required. Our encryption architecture is designed to qualify for this protection.</w:t>
      </w:r>
    </w:p>
    <w:p>
      <w:r>
        <w:t>____________________________________________________________</w:t>
      </w:r>
    </w:p>
    <w:p>
      <w:pPr>
        <w:pStyle w:val="Heading2"/>
      </w:pPr>
      <w:r>
        <w:t>What Makes This a Competitive Advantage</w:t>
      </w:r>
    </w:p>
    <w:p>
      <w:r>
        <w:t>Most health apps treat compliance as a cost. We treat it as a trust signal.</w:t>
      </w:r>
    </w:p>
    <w:p>
      <w:pPr>
        <w:pStyle w:val="Heading3"/>
      </w:pPr>
      <w:r>
        <w:t>For Users</w:t>
      </w:r>
    </w:p>
    <w:p>
      <w:r>
        <w:t>Users see a complete audit trail of who accessed their data, when, and why — going back 6 years. They can revoke access instantly. They can export their compliance history. No other consumer health app offers this level of transparency.</w:t>
      </w:r>
    </w:p>
    <w:p>
      <w:pPr>
        <w:pStyle w:val="Heading3"/>
      </w:pPr>
      <w:r>
        <w:t>For Clinical Partners</w:t>
      </w:r>
    </w:p>
    <w:p>
      <w:r>
        <w:t>When a clinic evaluates Consentext as a data partner, they need to see:</w:t>
      </w:r>
    </w:p>
    <w:p>
      <w:pPr>
        <w:pStyle w:val="ListBullet"/>
      </w:pPr>
      <w:r>
        <w:t>A signed BAA</w:t>
      </w:r>
    </w:p>
    <w:p>
      <w:pPr>
        <w:pStyle w:val="ListBullet"/>
      </w:pPr>
      <w:r>
        <w:t>Evidence of encryption and access controls</w:t>
      </w:r>
    </w:p>
    <w:p>
      <w:pPr>
        <w:pStyle w:val="ListBullet"/>
      </w:pPr>
      <w:r>
        <w:t>An audit trail</w:t>
      </w:r>
    </w:p>
    <w:p>
      <w:pPr>
        <w:pStyle w:val="ListBullet"/>
      </w:pPr>
      <w:r>
        <w:t>Breach notification procedures</w:t>
      </w:r>
    </w:p>
    <w:p>
      <w:pPr>
        <w:pStyle w:val="ListBullet"/>
      </w:pPr>
      <w:r>
        <w:t>A designated Security Officer</w:t>
      </w:r>
    </w:p>
    <w:p>
      <w:r>
        <w:t>We can produce all of this from day one of the clinical portal, because the architecture was built for it.</w:t>
      </w:r>
    </w:p>
    <w:p>
      <w:pPr>
        <w:pStyle w:val="Heading3"/>
      </w:pPr>
      <w:r>
        <w:t>For Investors</w:t>
      </w:r>
    </w:p>
    <w:p>
      <w:r>
        <w:t>HIPAA compliance is table stakes for any health data company that wants to work with clinics, labs, or insurers. Companies that don't have it can't enter those markets. Companies that retrofit it spend months and significant capital catching up.</w:t>
      </w:r>
    </w:p>
    <w:p>
      <w:r>
        <w:t>Consentext has compliance built into its architecture. That means:</w:t>
      </w:r>
    </w:p>
    <w:p>
      <w:pPr>
        <w:pStyle w:val="ListBullet"/>
      </w:pPr>
      <w:r/>
      <w:r>
        <w:rPr>
          <w:b/>
        </w:rPr>
        <w:t>Faster time to clinical portal launch</w:t>
      </w:r>
      <w:r>
        <w:t xml:space="preserve"> — no compliance retrofit needed</w:t>
      </w:r>
    </w:p>
    <w:p>
      <w:pPr>
        <w:pStyle w:val="ListBullet"/>
      </w:pPr>
      <w:r/>
      <w:r>
        <w:rPr>
          <w:b/>
        </w:rPr>
        <w:t>Lower risk of regulatory enforcement</w:t>
      </w:r>
      <w:r>
        <w:t xml:space="preserve"> — the system is designed to meet the standard</w:t>
      </w:r>
    </w:p>
    <w:p>
      <w:pPr>
        <w:pStyle w:val="ListBullet"/>
      </w:pPr>
      <w:r/>
      <w:r>
        <w:rPr>
          <w:b/>
        </w:rPr>
        <w:t>Stronger enterprise sales position</w:t>
      </w:r>
      <w:r>
        <w:t xml:space="preserve"> — clinical partners see a ready compliance posture</w:t>
      </w:r>
    </w:p>
    <w:p>
      <w:pPr>
        <w:pStyle w:val="ListBullet"/>
      </w:pPr>
      <w:r/>
      <w:r>
        <w:rPr>
          <w:b/>
        </w:rPr>
        <w:t>Defensible trust brand</w:t>
      </w:r>
      <w:r>
        <w:t xml:space="preserve"> — users and partners can verify our claims through the audit system</w:t>
      </w:r>
    </w:p>
    <w:p>
      <w:r>
        <w:t>____________________________________________________________</w:t>
      </w:r>
    </w:p>
    <w:p>
      <w:pPr>
        <w:pStyle w:val="Heading2"/>
      </w:pPr>
      <w:r>
        <w:t>The De-Identification Advantage</w:t>
      </w:r>
    </w:p>
    <w:p>
      <w:r>
        <w:t xml:space="preserve">HIPAA defines a specific method for de-identifying health data called </w:t>
      </w:r>
      <w:r>
        <w:rPr>
          <w:b/>
        </w:rPr>
        <w:t>Safe Harbor</w:t>
      </w:r>
      <w:r>
        <w:t>. It requires removing 18 specific types of identifiers — names, dates, phone numbers, Social Security numbers, medical record numbers, and more.</w:t>
      </w:r>
    </w:p>
    <w:p>
      <w:r>
        <w:t>Consentext's "derived-first" architecture does this by design:</w:t>
      </w:r>
    </w:p>
    <w:p>
      <w:pPr>
        <w:pStyle w:val="ListBullet"/>
      </w:pPr>
      <w:r>
        <w:t xml:space="preserve">AI exports </w:t>
      </w:r>
      <w:r>
        <w:rPr>
          <w:b/>
        </w:rPr>
        <w:t>never include identifiers</w:t>
      </w:r>
      <w:r>
        <w:t>. It's a hard rule in the system, not a setting.</w:t>
      </w:r>
    </w:p>
    <w:p>
      <w:pPr>
        <w:pStyle w:val="ListBullet"/>
      </w:pPr>
      <w:r>
        <w:t xml:space="preserve">Wearable data is shared as </w:t>
      </w:r>
      <w:r>
        <w:rPr>
          <w:b/>
        </w:rPr>
        <w:t>summaries by default</w:t>
      </w:r>
      <w:r>
        <w:t xml:space="preserve"> — daily averages and totals, not minute-by-minute raw data.</w:t>
      </w:r>
    </w:p>
    <w:p>
      <w:pPr>
        <w:pStyle w:val="ListBullet"/>
      </w:pPr>
      <w:r>
        <w:t>Biomarker documents are scanned for embedded identifiers before they're included in any export.</w:t>
      </w:r>
    </w:p>
    <w:p>
      <w:pPr>
        <w:pStyle w:val="ListBullet"/>
      </w:pPr>
      <w:r>
        <w:t xml:space="preserve">The context preparation pipeline has a </w:t>
      </w:r>
      <w:r>
        <w:rPr>
          <w:b/>
        </w:rPr>
        <w:t>Safe Harbor verification step</w:t>
      </w:r>
      <w:r>
        <w:t xml:space="preserve"> that rejects any bundle containing identifiers when identifiers aren't explicitly allowed.</w:t>
      </w:r>
    </w:p>
    <w:p>
      <w:r>
        <w:t>This isn't just privacy for privacy's sake. De-identified data is safer for AI consumption (less hallucination surface), cheaper to store and transmit, and carries lower regulatory risk. It's a product feature and a compliance feature at the same time.</w:t>
      </w:r>
    </w:p>
    <w:p>
      <w:r>
        <w:t>____________________________________________________________</w:t>
      </w:r>
    </w:p>
    <w:p>
      <w:pPr>
        <w:pStyle w:val="Heading2"/>
      </w:pPr>
      <w:r>
        <w:t>What's Still To Do</w:t>
      </w:r>
    </w:p>
    <w:p>
      <w:r>
        <w:t>We've documented the full compliance framework, but some items require execution:</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Item</w:t>
            </w:r>
          </w:p>
        </w:tc>
        <w:tc>
          <w:tcPr>
            <w:tcW w:type="dxa" w:w="3120"/>
          </w:tcPr>
          <w:p>
            <w:r>
              <w:rPr>
                <w:b/>
                <w:sz w:val="20"/>
              </w:rPr>
              <w:t>Status</w:t>
            </w:r>
          </w:p>
        </w:tc>
        <w:tc>
          <w:tcPr>
            <w:tcW w:type="dxa" w:w="3120"/>
          </w:tcPr>
          <w:p>
            <w:r>
              <w:rPr>
                <w:b/>
                <w:sz w:val="20"/>
              </w:rPr>
              <w:t>Dependency</w:t>
            </w:r>
          </w:p>
        </w:tc>
      </w:tr>
      <w:tr>
        <w:tc>
          <w:tcPr>
            <w:tcW w:type="dxa" w:w="3120"/>
          </w:tcPr>
          <w:p>
            <w:r>
              <w:rPr>
                <w:sz w:val="20"/>
              </w:rPr>
              <w:t>Regulatory posture document</w:t>
            </w:r>
          </w:p>
        </w:tc>
        <w:tc>
          <w:tcPr>
            <w:tcW w:type="dxa" w:w="3120"/>
          </w:tcPr>
          <w:p>
            <w:r>
              <w:rPr>
                <w:sz w:val="20"/>
              </w:rPr>
              <w:t>Complete</w:t>
            </w:r>
          </w:p>
        </w:tc>
        <w:tc>
          <w:tcPr>
            <w:tcW w:type="dxa" w:w="3120"/>
          </w:tcPr>
          <w:p>
            <w:r>
              <w:rPr>
                <w:sz w:val="20"/>
              </w:rPr>
              <w:t>—</w:t>
            </w:r>
          </w:p>
        </w:tc>
      </w:tr>
      <w:tr>
        <w:tc>
          <w:tcPr>
            <w:tcW w:type="dxa" w:w="3120"/>
          </w:tcPr>
          <w:p>
            <w:r>
              <w:rPr>
                <w:sz w:val="20"/>
              </w:rPr>
              <w:t>All 7 vault specs updated for HIPAA</w:t>
            </w:r>
          </w:p>
        </w:tc>
        <w:tc>
          <w:tcPr>
            <w:tcW w:type="dxa" w:w="3120"/>
          </w:tcPr>
          <w:p>
            <w:r>
              <w:rPr>
                <w:sz w:val="20"/>
              </w:rPr>
              <w:t>Complete</w:t>
            </w:r>
          </w:p>
        </w:tc>
        <w:tc>
          <w:tcPr>
            <w:tcW w:type="dxa" w:w="3120"/>
          </w:tcPr>
          <w:p>
            <w:r>
              <w:rPr>
                <w:sz w:val="20"/>
              </w:rPr>
              <w:t>—</w:t>
            </w:r>
          </w:p>
        </w:tc>
      </w:tr>
      <w:tr>
        <w:tc>
          <w:tcPr>
            <w:tcW w:type="dxa" w:w="3120"/>
          </w:tcPr>
          <w:p>
            <w:r>
              <w:rPr>
                <w:sz w:val="20"/>
              </w:rPr>
              <w:t>Security Officer designation</w:t>
            </w:r>
          </w:p>
        </w:tc>
        <w:tc>
          <w:tcPr>
            <w:tcW w:type="dxa" w:w="3120"/>
          </w:tcPr>
          <w:p>
            <w:r>
              <w:rPr>
                <w:sz w:val="20"/>
              </w:rPr>
              <w:t>TBD</w:t>
            </w:r>
          </w:p>
        </w:tc>
        <w:tc>
          <w:tcPr>
            <w:tcW w:type="dxa" w:w="3120"/>
          </w:tcPr>
          <w:p>
            <w:r>
              <w:rPr>
                <w:sz w:val="20"/>
              </w:rPr>
              <w:t>Hire or assign</w:t>
            </w:r>
          </w:p>
        </w:tc>
      </w:tr>
      <w:tr>
        <w:tc>
          <w:tcPr>
            <w:tcW w:type="dxa" w:w="3120"/>
          </w:tcPr>
          <w:p>
            <w:r>
              <w:rPr>
                <w:sz w:val="20"/>
              </w:rPr>
              <w:t>BAA template</w:t>
            </w:r>
          </w:p>
        </w:tc>
        <w:tc>
          <w:tcPr>
            <w:tcW w:type="dxa" w:w="3120"/>
          </w:tcPr>
          <w:p>
            <w:r>
              <w:rPr>
                <w:sz w:val="20"/>
              </w:rPr>
              <w:t>TBD</w:t>
            </w:r>
          </w:p>
        </w:tc>
        <w:tc>
          <w:tcPr>
            <w:tcW w:type="dxa" w:w="3120"/>
          </w:tcPr>
          <w:p>
            <w:r>
              <w:rPr>
                <w:sz w:val="20"/>
              </w:rPr>
              <w:t>Healthcare attorney review</w:t>
            </w:r>
          </w:p>
        </w:tc>
      </w:tr>
      <w:tr>
        <w:tc>
          <w:tcPr>
            <w:tcW w:type="dxa" w:w="3120"/>
          </w:tcPr>
          <w:p>
            <w:r>
              <w:rPr>
                <w:sz w:val="20"/>
              </w:rPr>
              <w:t>AWS BAA execution</w:t>
            </w:r>
          </w:p>
        </w:tc>
        <w:tc>
          <w:tcPr>
            <w:tcW w:type="dxa" w:w="3120"/>
          </w:tcPr>
          <w:p>
            <w:r>
              <w:rPr>
                <w:sz w:val="20"/>
              </w:rPr>
              <w:t>TBD</w:t>
            </w:r>
          </w:p>
        </w:tc>
        <w:tc>
          <w:tcPr>
            <w:tcW w:type="dxa" w:w="3120"/>
          </w:tcPr>
          <w:p>
            <w:r>
              <w:rPr>
                <w:sz w:val="20"/>
              </w:rPr>
              <w:t>Before production PHI</w:t>
            </w:r>
          </w:p>
        </w:tc>
      </w:tr>
      <w:tr>
        <w:tc>
          <w:tcPr>
            <w:tcW w:type="dxa" w:w="3120"/>
          </w:tcPr>
          <w:p>
            <w:r>
              <w:rPr>
                <w:sz w:val="20"/>
              </w:rPr>
              <w:t>First annual risk analysis</w:t>
            </w:r>
          </w:p>
        </w:tc>
        <w:tc>
          <w:tcPr>
            <w:tcW w:type="dxa" w:w="3120"/>
          </w:tcPr>
          <w:p>
            <w:r>
              <w:rPr>
                <w:sz w:val="20"/>
              </w:rPr>
              <w:t>TBD</w:t>
            </w:r>
          </w:p>
        </w:tc>
        <w:tc>
          <w:tcPr>
            <w:tcW w:type="dxa" w:w="3120"/>
          </w:tcPr>
          <w:p>
            <w:r>
              <w:rPr>
                <w:sz w:val="20"/>
              </w:rPr>
              <w:t>Security Officer + consultant</w:t>
            </w:r>
          </w:p>
        </w:tc>
      </w:tr>
      <w:tr>
        <w:tc>
          <w:tcPr>
            <w:tcW w:type="dxa" w:w="3120"/>
          </w:tcPr>
          <w:p>
            <w:r>
              <w:rPr>
                <w:sz w:val="20"/>
              </w:rPr>
              <w:t>Workforce training program</w:t>
            </w:r>
          </w:p>
        </w:tc>
        <w:tc>
          <w:tcPr>
            <w:tcW w:type="dxa" w:w="3120"/>
          </w:tcPr>
          <w:p>
            <w:r>
              <w:rPr>
                <w:sz w:val="20"/>
              </w:rPr>
              <w:t>TBD</w:t>
            </w:r>
          </w:p>
        </w:tc>
        <w:tc>
          <w:tcPr>
            <w:tcW w:type="dxa" w:w="3120"/>
          </w:tcPr>
          <w:p>
            <w:r>
              <w:rPr>
                <w:sz w:val="20"/>
              </w:rPr>
              <w:t>Before team expansion</w:t>
            </w:r>
          </w:p>
        </w:tc>
      </w:tr>
      <w:tr>
        <w:tc>
          <w:tcPr>
            <w:tcW w:type="dxa" w:w="3120"/>
          </w:tcPr>
          <w:p>
            <w:r>
              <w:rPr>
                <w:sz w:val="20"/>
              </w:rPr>
              <w:t>Breach response plan test</w:t>
            </w:r>
          </w:p>
        </w:tc>
        <w:tc>
          <w:tcPr>
            <w:tcW w:type="dxa" w:w="3120"/>
          </w:tcPr>
          <w:p>
            <w:r>
              <w:rPr>
                <w:sz w:val="20"/>
              </w:rPr>
              <w:t>TBD</w:t>
            </w:r>
          </w:p>
        </w:tc>
        <w:tc>
          <w:tcPr>
            <w:tcW w:type="dxa" w:w="3120"/>
          </w:tcPr>
          <w:p>
            <w:r>
              <w:rPr>
                <w:sz w:val="20"/>
              </w:rPr>
              <w:t>After plan is finalized</w:t>
            </w:r>
          </w:p>
        </w:tc>
      </w:tr>
      <w:tr>
        <w:tc>
          <w:tcPr>
            <w:tcW w:type="dxa" w:w="3120"/>
          </w:tcPr>
          <w:p>
            <w:r>
              <w:rPr>
                <w:sz w:val="20"/>
              </w:rPr>
              <w:t>SOC 2 Type II preparation</w:t>
            </w:r>
          </w:p>
        </w:tc>
        <w:tc>
          <w:tcPr>
            <w:tcW w:type="dxa" w:w="3120"/>
          </w:tcPr>
          <w:p>
            <w:r>
              <w:rPr>
                <w:sz w:val="20"/>
              </w:rPr>
              <w:t>Future (Phase 4+)</w:t>
            </w:r>
          </w:p>
        </w:tc>
        <w:tc>
          <w:tcPr>
            <w:tcW w:type="dxa" w:w="3120"/>
          </w:tcPr>
          <w:p>
            <w:r>
              <w:rPr>
                <w:sz w:val="20"/>
              </w:rPr>
              <w:t>Post-clinical portal launch</w:t>
            </w:r>
          </w:p>
        </w:tc>
      </w:tr>
    </w:tbl>
    <w:p/>
    <w:p>
      <w:r>
        <w:t>The documentation and architecture are in place. The operational items require execution as the team grows and the clinical portal approaches launch.</w:t>
      </w:r>
    </w:p>
    <w:p>
      <w:r>
        <w:t>____________________________________________________________</w:t>
      </w:r>
    </w:p>
    <w:p>
      <w:pPr>
        <w:pStyle w:val="Heading2"/>
      </w:pPr>
      <w:r>
        <w:t>Summary</w:t>
      </w:r>
    </w:p>
    <w:p>
      <w:r>
        <w:t>Consentext is building a health data platform that is:</w:t>
      </w:r>
    </w:p>
    <w:p>
      <w:pPr>
        <w:pStyle w:val="ListNumber"/>
      </w:pPr>
      <w:r/>
      <w:r>
        <w:rPr>
          <w:b/>
        </w:rPr>
        <w:t>Private by default</w:t>
      </w:r>
      <w:r>
        <w:t xml:space="preserve"> — encrypted, consent-controlled, auditable</w:t>
      </w:r>
    </w:p>
    <w:p>
      <w:pPr>
        <w:pStyle w:val="ListNumber"/>
      </w:pPr>
      <w:r/>
      <w:r>
        <w:rPr>
          <w:b/>
        </w:rPr>
        <w:t>HIPAA-ready from day one</w:t>
      </w:r>
      <w:r>
        <w:t xml:space="preserve"> — not retrofitted, not deferred</w:t>
      </w:r>
    </w:p>
    <w:p>
      <w:pPr>
        <w:pStyle w:val="ListNumber"/>
      </w:pPr>
      <w:r/>
      <w:r>
        <w:rPr>
          <w:b/>
        </w:rPr>
        <w:t>Designed for clinical partnerships</w:t>
      </w:r>
      <w:r>
        <w:t xml:space="preserve"> — BAAs, audit trails, breach notification, de-identification</w:t>
      </w:r>
    </w:p>
    <w:p>
      <w:pPr>
        <w:pStyle w:val="ListNumber"/>
      </w:pPr>
      <w:r/>
      <w:r>
        <w:rPr>
          <w:b/>
        </w:rPr>
        <w:t>Transparent to users</w:t>
      </w:r>
      <w:r>
        <w:t xml:space="preserve"> — 6 years of access history, plain-language audit viewer, instant revocation</w:t>
      </w:r>
    </w:p>
    <w:p>
      <w:r>
        <w:t>The compliance posture isn't a separate workstream. It's part of the vault. Every encryption key, every audit event, every consent decision, every derived summary — they all exist because this is how health data should be handled.</w:t>
      </w:r>
    </w:p>
    <w:p>
      <w:r>
        <w:t>Most companies build the product first and worry about compliance later. We built the compliance into the product. That's the difference.</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