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01 — Data Input &amp; Vault Custody Policy (Phase 3.75)</w:t>
      </w:r>
    </w:p>
    <w:p/>
    <w:p>
      <w:pPr>
        <w:pBdr>
          <w:bottom w:val="single" w:sz="6" w:space="1" w:color="BFBFBF"/>
        </w:pBdr>
      </w:pPr>
    </w:p>
    <w:p/>
    <w:p/>
    <w:p>
      <w:r/>
      <w:r>
        <w:rPr>
          <w:b/>
        </w:rPr>
        <w:t>Consentext Platform — Layer Vault Specification</w:t>
      </w:r>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Version</w:t>
            </w:r>
          </w:p>
        </w:tc>
        <w:tc>
          <w:tcPr>
            <w:tcW w:type="dxa" w:w="2340"/>
          </w:tcPr>
          <w:p>
            <w:r>
              <w:rPr>
                <w:b/>
              </w:rPr>
            </w:r>
            <w:r>
              <w:rPr>
                <w:b/>
              </w:rPr>
              <w:t>Author</w:t>
            </w:r>
          </w:p>
        </w:tc>
        <w:tc>
          <w:tcPr>
            <w:tcW w:type="dxa" w:w="2340"/>
          </w:tcPr>
          <w:p>
            <w:r>
              <w:rPr>
                <w:b/>
              </w:rPr>
            </w:r>
            <w:r>
              <w:rPr>
                <w:b/>
              </w:rPr>
              <w:t>Date</w:t>
            </w:r>
          </w:p>
        </w:tc>
        <w:tc>
          <w:tcPr>
            <w:tcW w:type="dxa" w:w="2340"/>
          </w:tcPr>
          <w:p>
            <w:r>
              <w:rPr>
                <w:b/>
              </w:rPr>
            </w:r>
            <w:r>
              <w:rPr>
                <w:b/>
              </w:rPr>
              <w:t>Notes</w:t>
            </w:r>
          </w:p>
        </w:tc>
      </w:tr>
      <w:tr>
        <w:tc>
          <w:tcPr>
            <w:tcW w:type="dxa" w:w="2340"/>
          </w:tcPr>
          <w:p>
            <w:r/>
            <w:r>
              <w:t>v1.0</w:t>
            </w:r>
          </w:p>
        </w:tc>
        <w:tc>
          <w:tcPr>
            <w:tcW w:type="dxa" w:w="2340"/>
          </w:tcPr>
          <w:p>
            <w:r/>
            <w:r>
              <w:t>Phong</w:t>
            </w:r>
          </w:p>
        </w:tc>
        <w:tc>
          <w:tcPr>
            <w:tcW w:type="dxa" w:w="2340"/>
          </w:tcPr>
          <w:p>
            <w:r/>
            <w:r>
              <w:t>02.04.26</w:t>
            </w:r>
          </w:p>
        </w:tc>
        <w:tc>
          <w:tcPr>
            <w:tcW w:type="dxa" w:w="2340"/>
          </w:tcPr>
          <w:p>
            <w:r/>
            <w:r>
              <w:t>Initial draft (Phase 3.75)</w:t>
            </w:r>
          </w:p>
        </w:tc>
      </w:tr>
      <w:tr>
        <w:tc>
          <w:tcPr>
            <w:tcW w:type="dxa" w:w="2340"/>
          </w:tcPr>
          <w:p>
            <w:r/>
            <w:r>
              <w:t>v2.0</w:t>
            </w:r>
          </w:p>
        </w:tc>
        <w:tc>
          <w:tcPr>
            <w:tcW w:type="dxa" w:w="2340"/>
          </w:tcPr>
          <w:p>
            <w:r/>
            <w:r>
              <w:t>Huy Nguyen</w:t>
            </w:r>
          </w:p>
        </w:tc>
        <w:tc>
          <w:tcPr>
            <w:tcW w:type="dxa" w:w="2340"/>
          </w:tcPr>
          <w:p>
            <w:r/>
            <w:r>
              <w:t>02.12.26</w:t>
            </w:r>
          </w:p>
        </w:tc>
        <w:tc>
          <w:tcPr>
            <w:tcW w:type="dxa" w:w="2340"/>
          </w:tcPr>
          <w:p>
            <w:r/>
            <w:r>
              <w:t>Blueprint iterations: agent ingestion, classification enhancement, encryption requirement</w:t>
            </w:r>
          </w:p>
        </w:tc>
      </w:tr>
    </w:tbl>
    <w:p/>
    <w:p/>
    <w:p>
      <w:pPr>
        <w:pBdr>
          <w:bottom w:val="single" w:sz="6" w:space="1" w:color="BFBFBF"/>
        </w:pBdr>
      </w:pPr>
    </w:p>
    <w:p/>
    <w:p>
      <w:pPr>
        <w:pStyle w:val="Heading2"/>
      </w:pPr>
      <w:r>
        <w:t>0. Purpose</w:t>
      </w:r>
    </w:p>
    <w:p/>
    <w:p>
      <w:r>
        <w:t>This document defines how Consentext ingests, classifies, and holds user-owned data in the Vault ("data custody"), including minimal schemas and lifecycle rules.</w:t>
      </w:r>
    </w:p>
    <w:p/>
    <w:p>
      <w:r>
        <w:t>Consentext is not an AI system. Vault custody must not introduce inference, interpretation, "insights," recommendations, diagnostics, prompt generation, or model orchestration.</w:t>
      </w:r>
    </w:p>
    <w:p/>
    <w:p>
      <w:pPr>
        <w:pStyle w:val="Heading2"/>
      </w:pPr>
      <w:r>
        <w:t>1. Scope</w:t>
      </w:r>
    </w:p>
    <w:p/>
    <w:p>
      <w:r/>
      <w:r>
        <w:rPr>
          <w:b/>
        </w:rPr>
        <w:t>Applies to:</w:t>
      </w:r>
      <w:r/>
    </w:p>
    <w:p>
      <w:pPr>
        <w:pStyle w:val="ListBullet"/>
      </w:pPr>
      <w:r>
        <w:t>Manual user uploads/imports</w:t>
      </w:r>
    </w:p>
    <w:p>
      <w:pPr>
        <w:pStyle w:val="ListBullet"/>
      </w:pPr>
      <w:r>
        <w:t>Wearable/baseline ingestion</w:t>
      </w:r>
    </w:p>
    <w:p>
      <w:pPr>
        <w:pStyle w:val="ListBullet"/>
      </w:pPr>
      <w:r>
        <w:t>External record uploads (records documents)</w:t>
      </w:r>
    </w:p>
    <w:p>
      <w:pPr>
        <w:pStyle w:val="ListBullet"/>
      </w:pPr>
      <w:r>
        <w:t>Internal creation of derived summaries (as VaultItems, with provenance)</w:t>
      </w:r>
    </w:p>
    <w:p/>
    <w:p>
      <w:r/>
      <w:r>
        <w:rPr>
          <w:b/>
        </w:rPr>
        <w:t>Out of scope (Phase 3.75):</w:t>
      </w:r>
      <w:r/>
    </w:p>
    <w:p>
      <w:pPr>
        <w:pStyle w:val="ListBullet"/>
      </w:pPr>
      <w:r>
        <w:t>Provider/clinic production ingestion integrations (placeholders only)</w:t>
      </w:r>
    </w:p>
    <w:p>
      <w:pPr>
        <w:pStyle w:val="ListBullet"/>
      </w:pPr>
      <w:r>
        <w:t>Automatic clinical record retrieval</w:t>
      </w:r>
    </w:p>
    <w:p>
      <w:pPr>
        <w:pStyle w:val="ListBullet"/>
      </w:pPr>
      <w:r>
        <w:t>Generating interpretations from raw health data</w:t>
      </w:r>
    </w:p>
    <w:p/>
    <w:p>
      <w:pPr>
        <w:pStyle w:val="Heading2"/>
      </w:pPr>
      <w:r>
        <w:t>2. Core Principles (Non-Negotiable)</w:t>
      </w:r>
    </w:p>
    <w:p/>
    <w:p>
      <w:pPr>
        <w:pStyle w:val="ListBullet"/>
      </w:pPr>
      <w:r/>
      <w:r>
        <w:rPr>
          <w:b/>
        </w:rPr>
        <w:t>User ownership:</w:t>
      </w:r>
      <w:r>
        <w:t xml:space="preserve"> The user is the data owner; Consentext is the custodian.</w:t>
      </w:r>
    </w:p>
    <w:p>
      <w:pPr>
        <w:pStyle w:val="ListBullet"/>
      </w:pPr>
      <w:r/>
      <w:r>
        <w:rPr>
          <w:b/>
        </w:rPr>
        <w:t>Explicit access:</w:t>
      </w:r>
      <w:r>
        <w:t xml:space="preserve"> Storing data does not grant any recipient access; sharing requires explicit consent.</w:t>
      </w:r>
    </w:p>
    <w:p>
      <w:pPr>
        <w:pStyle w:val="ListBullet"/>
      </w:pPr>
      <w:r/>
      <w:r>
        <w:rPr>
          <w:b/>
        </w:rPr>
        <w:t>Separation:</w:t>
      </w:r>
      <w:r>
        <w:t xml:space="preserve"> Raw data and derived summaries are stored separately and labeled clearly.</w:t>
      </w:r>
    </w:p>
    <w:p>
      <w:pPr>
        <w:pStyle w:val="ListBullet"/>
      </w:pPr>
      <w:r/>
      <w:r>
        <w:rPr>
          <w:b/>
        </w:rPr>
        <w:t>Minimize identifiers:</w:t>
      </w:r>
      <w:r>
        <w:t xml:space="preserve"> Identity data is minimized and isolated (Identity Pod).</w:t>
      </w:r>
    </w:p>
    <w:p>
      <w:pPr>
        <w:pStyle w:val="ListBullet"/>
      </w:pPr>
      <w:r/>
      <w:r>
        <w:rPr>
          <w:b/>
        </w:rPr>
        <w:t>Provenance:</w:t>
      </w:r>
      <w:r>
        <w:t xml:space="preserve"> Every VaultItem must record source + timestamps + versioning.</w:t>
      </w:r>
    </w:p>
    <w:p>
      <w:pPr>
        <w:pStyle w:val="ListBullet"/>
      </w:pPr>
      <w:r/>
      <w:r>
        <w:rPr>
          <w:b/>
        </w:rPr>
        <w:t>Environment hygiene:</w:t>
      </w:r>
      <w:r>
        <w:t xml:space="preserve"> No real sensitive data in staging; strict env separation.</w:t>
      </w:r>
    </w:p>
    <w:p/>
    <w:p>
      <w:pPr>
        <w:pStyle w:val="Heading2"/>
      </w:pPr>
      <w:r>
        <w:t>3. Vault Data Model (Authoritative)</w:t>
      </w:r>
    </w:p>
    <w:p/>
    <w:p>
      <w:r>
        <w:t>Consentext stores data as VaultItems grouped into policy-partitioned Pods.</w:t>
      </w:r>
    </w:p>
    <w:p/>
    <w:p>
      <w:pPr>
        <w:pStyle w:val="Heading3"/>
      </w:pPr>
      <w:r>
        <w:t>3.1 Pods (MVP)</w:t>
      </w:r>
    </w:p>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Pod</w:t>
            </w:r>
          </w:p>
        </w:tc>
        <w:tc>
          <w:tcPr>
            <w:tcW w:type="dxa" w:w="4680"/>
          </w:tcPr>
          <w:p>
            <w:r>
              <w:rPr>
                <w:b/>
              </w:rPr>
            </w:r>
            <w:r>
              <w:rPr>
                <w:b/>
              </w:rPr>
              <w:t>Contents</w:t>
            </w:r>
          </w:p>
        </w:tc>
      </w:tr>
      <w:tr>
        <w:tc>
          <w:tcPr>
            <w:tcW w:type="dxa" w:w="4680"/>
          </w:tcPr>
          <w:p>
            <w:r/>
            <w:r/>
            <w:r>
              <w:rPr>
                <w:b/>
              </w:rPr>
              <w:t>Identity Pod</w:t>
            </w:r>
            <w:r/>
          </w:p>
        </w:tc>
        <w:tc>
          <w:tcPr>
            <w:tcW w:type="dxa" w:w="4680"/>
          </w:tcPr>
          <w:p>
            <w:r/>
            <w:r>
              <w:t>User identifiers (minimized)</w:t>
            </w:r>
          </w:p>
        </w:tc>
      </w:tr>
      <w:tr>
        <w:tc>
          <w:tcPr>
            <w:tcW w:type="dxa" w:w="4680"/>
          </w:tcPr>
          <w:p>
            <w:r/>
            <w:r/>
            <w:r>
              <w:rPr>
                <w:b/>
              </w:rPr>
              <w:t>Wearables Pod</w:t>
            </w:r>
            <w:r/>
          </w:p>
        </w:tc>
        <w:tc>
          <w:tcPr>
            <w:tcW w:type="dxa" w:w="4680"/>
          </w:tcPr>
          <w:p>
            <w:r/>
            <w:r>
              <w:t>Wearable metrics + derived summaries</w:t>
            </w:r>
          </w:p>
        </w:tc>
      </w:tr>
      <w:tr>
        <w:tc>
          <w:tcPr>
            <w:tcW w:type="dxa" w:w="4680"/>
          </w:tcPr>
          <w:p>
            <w:r/>
            <w:r/>
            <w:r>
              <w:rPr>
                <w:b/>
              </w:rPr>
              <w:t>Biomarkers Pod</w:t>
            </w:r>
            <w:r/>
          </w:p>
        </w:tc>
        <w:tc>
          <w:tcPr>
            <w:tcW w:type="dxa" w:w="4680"/>
          </w:tcPr>
          <w:p>
            <w:r/>
            <w:r>
              <w:t>Lab/blood screens (PDF/image/CSV artifacts + structured values if available)</w:t>
            </w:r>
          </w:p>
        </w:tc>
      </w:tr>
      <w:tr>
        <w:tc>
          <w:tcPr>
            <w:tcW w:type="dxa" w:w="4680"/>
          </w:tcPr>
          <w:p>
            <w:r/>
            <w:r/>
            <w:r>
              <w:rPr>
                <w:b/>
              </w:rPr>
              <w:t>Records Pod</w:t>
            </w:r>
            <w:r/>
          </w:p>
        </w:tc>
        <w:tc>
          <w:tcPr>
            <w:tcW w:type="dxa" w:w="4680"/>
          </w:tcPr>
          <w:p>
            <w:r/>
            <w:r>
              <w:t>EHR/EMR/PHR documents (PDFs/images/CSVs)</w:t>
            </w:r>
          </w:p>
        </w:tc>
      </w:tr>
    </w:tbl>
    <w:p/>
    <w:p/>
    <w:p>
      <w:pPr>
        <w:pStyle w:val="Heading3"/>
      </w:pPr>
      <w:r>
        <w:t>3.2 VaultItem Schema (Minimum)</w:t>
      </w:r>
    </w:p>
    <w:p/>
    <w:p>
      <w:r/>
      <w:r>
        <w:rPr>
          <w:b/>
        </w:rPr>
        <w:t>Required fields:</w:t>
      </w:r>
      <w:r/>
    </w:p>
    <w:p>
      <w:pPr>
        <w:pStyle w:val="ListBullet"/>
      </w:pPr>
      <w:r/>
      <w:r>
        <w:rPr>
          <w:rFonts w:ascii="Courier New" w:hAnsi="Courier New"/>
          <w:sz w:val="20"/>
        </w:rPr>
        <w:t>vault_item_id</w:t>
      </w:r>
      <w:r>
        <w:t xml:space="preserve"> (UUID)</w:t>
      </w:r>
    </w:p>
    <w:p>
      <w:pPr>
        <w:pStyle w:val="ListBullet"/>
      </w:pPr>
      <w:r/>
      <w:r>
        <w:rPr>
          <w:rFonts w:ascii="Courier New" w:hAnsi="Courier New"/>
          <w:sz w:val="20"/>
        </w:rPr>
        <w:t>tenant_id</w:t>
      </w:r>
      <w:r/>
    </w:p>
    <w:p>
      <w:pPr>
        <w:pStyle w:val="ListBullet"/>
      </w:pPr>
      <w:r/>
      <w:r>
        <w:rPr>
          <w:rFonts w:ascii="Courier New" w:hAnsi="Courier New"/>
          <w:sz w:val="20"/>
        </w:rPr>
        <w:t>user_id</w:t>
      </w:r>
      <w:r/>
    </w:p>
    <w:p>
      <w:pPr>
        <w:pStyle w:val="ListBullet"/>
      </w:pPr>
      <w:r/>
      <w:r>
        <w:rPr>
          <w:rFonts w:ascii="Courier New" w:hAnsi="Courier New"/>
          <w:sz w:val="20"/>
        </w:rPr>
        <w:t>pod_type</w:t>
      </w:r>
      <w:r>
        <w:t>: wearables | biomarkers | records | identity</w:t>
      </w:r>
    </w:p>
    <w:p>
      <w:pPr>
        <w:pStyle w:val="ListBullet"/>
      </w:pPr>
      <w:r/>
      <w:r>
        <w:rPr>
          <w:rFonts w:ascii="Courier New" w:hAnsi="Courier New"/>
          <w:sz w:val="20"/>
        </w:rPr>
        <w:t>data_category</w:t>
      </w:r>
      <w:r>
        <w:t xml:space="preserve"> (enum; owned by consent policy)</w:t>
      </w:r>
    </w:p>
    <w:p>
      <w:pPr>
        <w:pStyle w:val="ListBullet"/>
      </w:pPr>
      <w:r/>
      <w:r>
        <w:rPr>
          <w:rFonts w:ascii="Courier New" w:hAnsi="Courier New"/>
          <w:sz w:val="20"/>
        </w:rPr>
        <w:t>format</w:t>
      </w:r>
      <w:r>
        <w:t>: json | csv | pdf | image</w:t>
      </w:r>
    </w:p>
    <w:p>
      <w:pPr>
        <w:pStyle w:val="ListBullet"/>
      </w:pPr>
      <w:r/>
      <w:r>
        <w:rPr>
          <w:rFonts w:ascii="Courier New" w:hAnsi="Courier New"/>
          <w:sz w:val="20"/>
        </w:rPr>
        <w:t>created_at</w:t>
      </w:r>
      <w:r/>
    </w:p>
    <w:p>
      <w:pPr>
        <w:pStyle w:val="ListBullet"/>
      </w:pPr>
      <w:r/>
      <w:r>
        <w:rPr>
          <w:rFonts w:ascii="Courier New" w:hAnsi="Courier New"/>
          <w:sz w:val="20"/>
        </w:rPr>
        <w:t>source</w:t>
      </w:r>
      <w:r>
        <w:t>: wearable | import | manual | external_record</w:t>
      </w:r>
    </w:p>
    <w:p>
      <w:pPr>
        <w:pStyle w:val="ListBullet"/>
      </w:pPr>
      <w:r/>
      <w:r>
        <w:rPr>
          <w:rFonts w:ascii="Courier New" w:hAnsi="Courier New"/>
          <w:sz w:val="20"/>
        </w:rPr>
        <w:t>storage_ref</w:t>
      </w:r>
      <w:r>
        <w:t xml:space="preserve"> (opaque pointer to payload storage)</w:t>
      </w:r>
    </w:p>
    <w:p>
      <w:pPr>
        <w:pStyle w:val="ListBullet"/>
      </w:pPr>
      <w:r/>
      <w:r>
        <w:rPr>
          <w:rFonts w:ascii="Courier New" w:hAnsi="Courier New"/>
          <w:sz w:val="20"/>
        </w:rPr>
        <w:t>sensitivity</w:t>
      </w:r>
      <w:r>
        <w:t>: low | medium | high (drives UX warnings and defaults)</w:t>
      </w:r>
    </w:p>
    <w:p/>
    <w:p>
      <w:r/>
      <w:r>
        <w:rPr>
          <w:b/>
        </w:rPr>
        <w:t>Recommended fields:</w:t>
      </w:r>
      <w:r/>
    </w:p>
    <w:p>
      <w:pPr>
        <w:pStyle w:val="ListBullet"/>
      </w:pPr>
      <w:r/>
      <w:r>
        <w:rPr>
          <w:rFonts w:ascii="Courier New" w:hAnsi="Courier New"/>
          <w:sz w:val="20"/>
        </w:rPr>
        <w:t>updated_at</w:t>
      </w:r>
      <w:r/>
    </w:p>
    <w:p>
      <w:pPr>
        <w:pStyle w:val="ListBullet"/>
      </w:pPr>
      <w:r/>
      <w:r>
        <w:rPr>
          <w:rFonts w:ascii="Courier New" w:hAnsi="Courier New"/>
          <w:sz w:val="20"/>
        </w:rPr>
        <w:t>version</w:t>
      </w:r>
      <w:r>
        <w:t xml:space="preserve"> (int)</w:t>
      </w:r>
    </w:p>
    <w:p>
      <w:pPr>
        <w:pStyle w:val="ListBullet"/>
      </w:pPr>
      <w:r/>
      <w:r>
        <w:rPr>
          <w:rFonts w:ascii="Courier New" w:hAnsi="Courier New"/>
          <w:sz w:val="20"/>
        </w:rPr>
        <w:t>provenance_ref</w:t>
      </w:r>
      <w:r>
        <w:t xml:space="preserve"> (pointer to ingest job, file hash, or upstream identifier)</w:t>
      </w:r>
    </w:p>
    <w:p>
      <w:pPr>
        <w:pStyle w:val="ListBullet"/>
      </w:pPr>
      <w:r/>
      <w:r>
        <w:rPr>
          <w:rFonts w:ascii="Courier New" w:hAnsi="Courier New"/>
          <w:sz w:val="20"/>
        </w:rPr>
        <w:t>checksum/hash</w:t>
      </w:r>
      <w:r>
        <w:t xml:space="preserve"> (for integrity verification; optional in Phase 3.75)</w:t>
      </w:r>
    </w:p>
    <w:p/>
    <w:p>
      <w:pPr>
        <w:pStyle w:val="Heading2"/>
      </w:pPr>
      <w:r>
        <w:t>4. Data Input Sources and Rules</w:t>
      </w:r>
    </w:p>
    <w:p/>
    <w:p>
      <w:pPr>
        <w:pStyle w:val="Heading3"/>
      </w:pPr>
      <w:r>
        <w:t>4.1 Input Paths</w:t>
      </w:r>
    </w:p>
    <w:p/>
    <w:p>
      <w:r>
        <w:t>Inputs may arrive via:</w:t>
      </w:r>
    </w:p>
    <w:p>
      <w:pPr>
        <w:pStyle w:val="ListBullet"/>
      </w:pPr>
      <w:r>
        <w:t>Manual upload (user)</w:t>
      </w:r>
    </w:p>
    <w:p>
      <w:pPr>
        <w:pStyle w:val="ListBullet"/>
      </w:pPr>
      <w:r>
        <w:t>Import connector (TBD)</w:t>
      </w:r>
    </w:p>
    <w:p>
      <w:pPr>
        <w:pStyle w:val="ListBullet"/>
      </w:pPr>
      <w:r>
        <w:t>Wearable ingestion pipeline (treated as structured JSON/CSV)</w:t>
      </w:r>
    </w:p>
    <w:p>
      <w:pPr>
        <w:pStyle w:val="ListBullet"/>
      </w:pPr>
      <w:r>
        <w:t>External record upload (user-provided documents)</w:t>
      </w:r>
    </w:p>
    <w:p/>
    <w:p>
      <w:r>
        <w:t>All ingest paths must:</w:t>
      </w:r>
    </w:p>
    <w:p>
      <w:pPr>
        <w:pStyle w:val="ListBullet"/>
      </w:pPr>
      <w:r>
        <w:t>Validate format and size constraints (TBD limits)</w:t>
      </w:r>
    </w:p>
    <w:p>
      <w:pPr>
        <w:pStyle w:val="ListBullet"/>
      </w:pPr>
      <w:r>
        <w:t>Attach provenance metadata</w:t>
      </w:r>
    </w:p>
    <w:p>
      <w:pPr>
        <w:pStyle w:val="ListBullet"/>
      </w:pPr>
      <w:r>
        <w:t xml:space="preserve">Store payload in the Vault under </w:t>
      </w:r>
      <w:r>
        <w:rPr>
          <w:rFonts w:ascii="Courier New" w:hAnsi="Courier New"/>
          <w:sz w:val="20"/>
        </w:rPr>
        <w:t>storage_ref</w:t>
      </w:r>
      <w:r/>
    </w:p>
    <w:p>
      <w:pPr>
        <w:pStyle w:val="ListBullet"/>
      </w:pPr>
      <w:r>
        <w:t>Never store PHI payloads in logs</w:t>
      </w:r>
    </w:p>
    <w:p/>
    <w:p>
      <w:pPr>
        <w:pStyle w:val="Heading3"/>
      </w:pPr>
      <w:r>
        <w:t>4.2 Supported Formats (MVP)</w:t>
      </w:r>
    </w:p>
    <w:p/>
    <w:p>
      <w:pPr>
        <w:pStyle w:val="ListBullet"/>
      </w:pPr>
      <w:r/>
      <w:r>
        <w:rPr>
          <w:b/>
        </w:rPr>
        <w:t>JSON:</w:t>
      </w:r>
      <w:r>
        <w:t xml:space="preserve"> Structured wearable metrics, summaries, or structured lab values</w:t>
      </w:r>
    </w:p>
    <w:p>
      <w:pPr>
        <w:pStyle w:val="ListBullet"/>
      </w:pPr>
      <w:r/>
      <w:r>
        <w:rPr>
          <w:b/>
        </w:rPr>
        <w:t>CSV:</w:t>
      </w:r>
      <w:r>
        <w:t xml:space="preserve"> Structured wearable exports or structured lab values</w:t>
      </w:r>
    </w:p>
    <w:p>
      <w:pPr>
        <w:pStyle w:val="ListBullet"/>
      </w:pPr>
      <w:r/>
      <w:r>
        <w:rPr>
          <w:b/>
        </w:rPr>
        <w:t>PDF/image:</w:t>
      </w:r>
      <w:r>
        <w:t xml:space="preserve"> Lab reports and records documents (as artifacts)</w:t>
      </w:r>
    </w:p>
    <w:p/>
    <w:p>
      <w:r>
        <w:t>PDFs/images are treated as artifacts; Phase 3.75 does not interpret them for "insight." If structured extraction is performed, it must be deterministic from structured sources.</w:t>
      </w:r>
    </w:p>
    <w:p/>
    <w:p>
      <w:pPr>
        <w:pStyle w:val="Heading2"/>
      </w:pPr>
      <w:r>
        <w:t>5. Classification and Sensitivity</w:t>
      </w:r>
    </w:p>
    <w:p/>
    <w:p>
      <w:pPr>
        <w:pStyle w:val="ListBullet"/>
      </w:pPr>
      <w:r>
        <w:t xml:space="preserve">Treat biomarkers and records documents as </w:t>
      </w:r>
      <w:r>
        <w:rPr>
          <w:b/>
        </w:rPr>
        <w:t>high sensitivity</w:t>
      </w:r>
      <w:r>
        <w:t xml:space="preserve"> by default</w:t>
      </w:r>
    </w:p>
    <w:p>
      <w:pPr>
        <w:pStyle w:val="ListBullet"/>
      </w:pPr>
      <w:r>
        <w:t>Wearables raw time-series may be medium/high depending on category</w:t>
      </w:r>
    </w:p>
    <w:p>
      <w:pPr>
        <w:pStyle w:val="ListBullet"/>
      </w:pPr>
      <w:r>
        <w:t xml:space="preserve">Identity data is </w:t>
      </w:r>
      <w:r>
        <w:rPr>
          <w:b/>
        </w:rPr>
        <w:t>always high sensitivity</w:t>
      </w:r>
      <w:r/>
    </w:p>
    <w:p>
      <w:pPr>
        <w:pStyle w:val="ListBullet"/>
      </w:pPr>
      <w:r>
        <w:t>High-sensitivity categories must trigger warnings during share creation</w:t>
      </w:r>
    </w:p>
    <w:p>
      <w:pPr>
        <w:pStyle w:val="ListBullet"/>
      </w:pPr>
      <w:r>
        <w:t>Identity sharing must be explicit toggle-only, and never allowed for AI export</w:t>
      </w:r>
    </w:p>
    <w:p/>
    <w:p>
      <w:pPr>
        <w:pStyle w:val="Heading2"/>
      </w:pPr>
      <w:r>
        <w:t>6. Lifecycle Rules</w:t>
      </w:r>
    </w:p>
    <w:p/>
    <w:p>
      <w:pPr>
        <w:pStyle w:val="Heading3"/>
      </w:pPr>
      <w:r>
        <w:t>6.1 Ingest</w:t>
      </w:r>
    </w:p>
    <w:p>
      <w:r>
        <w:t xml:space="preserve">A VaultItem is created with </w:t>
      </w:r>
      <w:r>
        <w:rPr>
          <w:rFonts w:ascii="Courier New" w:hAnsi="Courier New"/>
          <w:sz w:val="20"/>
        </w:rPr>
        <w:t>created_at</w:t>
      </w:r>
      <w:r>
        <w:t xml:space="preserve">, </w:t>
      </w:r>
      <w:r>
        <w:rPr>
          <w:rFonts w:ascii="Courier New" w:hAnsi="Courier New"/>
          <w:sz w:val="20"/>
        </w:rPr>
        <w:t>source</w:t>
      </w:r>
      <w:r>
        <w:t xml:space="preserve">, and </w:t>
      </w:r>
      <w:r>
        <w:rPr>
          <w:rFonts w:ascii="Courier New" w:hAnsi="Courier New"/>
          <w:sz w:val="20"/>
        </w:rPr>
        <w:t>storage_ref</w:t>
      </w:r>
      <w:r>
        <w:t>. Ingest must be idempotent where possible.</w:t>
      </w:r>
    </w:p>
    <w:p/>
    <w:p>
      <w:pPr>
        <w:pStyle w:val="Heading3"/>
      </w:pPr>
      <w:r>
        <w:t>6.2 Update / Versioning</w:t>
      </w:r>
    </w:p>
    <w:p>
      <w:pPr>
        <w:pStyle w:val="ListBullet"/>
      </w:pPr>
      <w:r>
        <w:t>Prefer append-only versioning for artifacts and structured datasets</w:t>
      </w:r>
    </w:p>
    <w:p>
      <w:pPr>
        <w:pStyle w:val="ListBullet"/>
      </w:pPr>
      <w:r>
        <w:t>If "update in place" is used for MVP, the prior version must be recoverable or at minimum auditable</w:t>
      </w:r>
    </w:p>
    <w:p>
      <w:pPr>
        <w:pStyle w:val="ListBullet"/>
      </w:pPr>
      <w:r>
        <w:t xml:space="preserve">Derived summaries must reference source VaultItem(s) via </w:t>
      </w:r>
      <w:r>
        <w:rPr>
          <w:rFonts w:ascii="Courier New" w:hAnsi="Courier New"/>
          <w:sz w:val="20"/>
        </w:rPr>
        <w:t>provenance_ref</w:t>
      </w:r>
      <w:r/>
    </w:p>
    <w:p/>
    <w:p>
      <w:pPr>
        <w:pStyle w:val="Heading3"/>
      </w:pPr>
      <w:r>
        <w:t>6.3 Export</w:t>
      </w:r>
    </w:p>
    <w:p>
      <w:r>
        <w:t>Export is always mediated by: a Share object, a ConsentPolicy, request-time enforcement, and audit logging. Vault storage keys/refs are never exposed externally.</w:t>
      </w:r>
    </w:p>
    <w:p/>
    <w:p>
      <w:pPr>
        <w:pStyle w:val="Heading3"/>
      </w:pPr>
      <w:r>
        <w:t>6.4 Delete</w:t>
      </w:r>
    </w:p>
    <w:p>
      <w:r>
        <w:t>User deletion must:</w:t>
      </w:r>
    </w:p>
    <w:p>
      <w:pPr>
        <w:pStyle w:val="ListBullet"/>
      </w:pPr>
      <w:r>
        <w:t>Remove the VaultItem metadata and revoke access to the payload (hard delete or cryptographic delete via key deletion; TBD implementation)</w:t>
      </w:r>
    </w:p>
    <w:p>
      <w:pPr>
        <w:pStyle w:val="ListBullet"/>
      </w:pPr>
      <w:r>
        <w:t>Not break audit logs (audit logs contain summaries only)</w:t>
      </w:r>
    </w:p>
    <w:p>
      <w:pPr>
        <w:pStyle w:val="ListBullet"/>
      </w:pPr>
      <w:r>
        <w:t>Be reflected in user-visible UX promptly</w:t>
      </w:r>
    </w:p>
    <w:p/>
    <w:p>
      <w:pPr>
        <w:pStyle w:val="Heading2"/>
      </w:pPr>
      <w:r>
        <w:t>7. Safety Constraints</w:t>
      </w:r>
    </w:p>
    <w:p/>
    <w:p>
      <w:pPr>
        <w:pStyle w:val="ListBullet"/>
      </w:pPr>
      <w:r/>
      <w:r>
        <w:rPr>
          <w:b/>
        </w:rPr>
        <w:t>No implicit sharing:</w:t>
      </w:r>
      <w:r>
        <w:t xml:space="preserve"> Ingest does not create shares</w:t>
      </w:r>
    </w:p>
    <w:p>
      <w:pPr>
        <w:pStyle w:val="ListBullet"/>
      </w:pPr>
      <w:r/>
      <w:r>
        <w:rPr>
          <w:b/>
        </w:rPr>
        <w:t>No PHI in logs:</w:t>
      </w:r>
      <w:r>
        <w:t xml:space="preserve"> Ingestion logs must be redacted; store only minimal operational metadata</w:t>
      </w:r>
    </w:p>
    <w:p>
      <w:pPr>
        <w:pStyle w:val="ListBullet"/>
      </w:pPr>
      <w:r/>
      <w:r>
        <w:rPr>
          <w:b/>
        </w:rPr>
        <w:t>Staging:</w:t>
      </w:r>
      <w:r>
        <w:t xml:space="preserve"> Must not use real sensitive user data; use synthetic fixtures</w:t>
      </w:r>
    </w:p>
    <w:p/>
    <w:p>
      <w:pPr>
        <w:pStyle w:val="Heading2"/>
      </w:pPr>
      <w:r>
        <w:t>8. Verification (Acceptance Checks)</w:t>
      </w:r>
    </w:p>
    <w:p/>
    <w:p>
      <w:pPr>
        <w:pStyle w:val="ListBullet"/>
      </w:pPr>
      <w:r>
        <w:t>[ ] Ingest creates VaultItem with correct pod_type, category, and storage_ref</w:t>
      </w:r>
    </w:p>
    <w:p>
      <w:pPr>
        <w:pStyle w:val="ListBullet"/>
      </w:pPr>
      <w:r>
        <w:t>[ ] Derived summary VaultItem includes provenance_ref to sources</w:t>
      </w:r>
    </w:p>
    <w:p>
      <w:pPr>
        <w:pStyle w:val="ListBullet"/>
      </w:pPr>
      <w:r>
        <w:t>[ ] Deletion removes payload access and prevents future sharing of deleted items</w:t>
      </w:r>
    </w:p>
    <w:p>
      <w:pPr>
        <w:pStyle w:val="ListBullet"/>
      </w:pPr>
      <w:r>
        <w:t>[ ] Attempts to share identity pod to AI export are blocked by policy</w:t>
      </w:r>
    </w:p>
    <w:p/>
    <w:p>
      <w:pPr>
        <w:pBdr>
          <w:bottom w:val="single" w:sz="6" w:space="1" w:color="BFBFBF"/>
        </w:pBdr>
      </w:pPr>
    </w:p>
    <w:p/>
    <w:p>
      <w:pPr>
        <w:pStyle w:val="Heading2"/>
      </w:pPr>
      <w:r>
        <w:t>v2.0 Iteration — Blueprint Additions</w:t>
      </w:r>
    </w:p>
    <w:p/>
    <w:p>
      <w:pPr>
        <w:pStyle w:val="Heading3"/>
      </w:pPr>
      <w:r>
        <w:t>Agent Ingestion Path</w:t>
      </w:r>
    </w:p>
    <w:p/>
    <w:p>
      <w:r>
        <w:t xml:space="preserve">Future consideration for agent-mediated data ingestion (e.g., an AI agent that retrieves lab results on behalf of the user). All agent-sourced data must go through the same validation, classification, and audit pipeline. Agent identity must be logged as the ingestion source. Add </w:t>
      </w:r>
      <w:r>
        <w:rPr>
          <w:rFonts w:ascii="Courier New" w:hAnsi="Courier New"/>
          <w:sz w:val="20"/>
        </w:rPr>
        <w:t>agent</w:t>
      </w:r>
      <w:r>
        <w:t xml:space="preserve"> as a valid value for the </w:t>
      </w:r>
      <w:r>
        <w:rPr>
          <w:rFonts w:ascii="Courier New" w:hAnsi="Courier New"/>
          <w:sz w:val="20"/>
        </w:rPr>
        <w:t>source</w:t>
      </w:r>
      <w:r>
        <w:t xml:space="preserve"> field.</w:t>
      </w:r>
    </w:p>
    <w:p/>
    <w:p>
      <w:pPr>
        <w:pStyle w:val="Heading3"/>
      </w:pPr>
      <w:r>
        <w:t>Data Classification Enhancement</w:t>
      </w:r>
    </w:p>
    <w:p/>
    <w:p>
      <w:r>
        <w:t>Align classifications with the Blueprint's "derived-first" posture. Default all outbound data to derived/summary unless the user explicitly enables raw sharing. This affects how VaultItems are tagged at ingestion time — raw items should carry a flag indicating they require explicit consent for raw sharing.</w:t>
      </w:r>
    </w:p>
    <w:p/>
    <w:p>
      <w:pPr>
        <w:pStyle w:val="Heading3"/>
      </w:pPr>
      <w:r>
        <w:t>Encryption at Rest (Blueprint Alignment)</w:t>
      </w:r>
    </w:p>
    <w:p/>
    <w:p>
      <w:r>
        <w:t>All VaultItem payloads must use envelope encryption with KMS-managed keys. Separate keys per user or per pod (decision TBD by senior engineer). This was implicit in v1.0 but is now an explicit requirement per the Senior Developer Blueprint. Cryptographic deletion (destroying the DEK) must be supported as a deletion mechanism.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