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— Identity &amp; Authentication Policy (Phase 3.75)</w:t>
      </w:r>
    </w:p>
    <w:p>
      <w:r/>
      <w:r>
        <w:rPr>
          <w:b/>
        </w:rPr>
        <w:t>Consentext Platform — Layer Vault Specification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Phong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02.04.26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Initial draft (Phase 3.75)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Huy Nguyen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02.12.26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Blueprint iterations: passkeys preferred, device binding, principal authentication for agents/apps, step-up auth for high-risk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Huy Nguyen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02.16.26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HIPAA compliance: explicit TLS 1.2+ requirement, automatic session termination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0. Purpose</w:t>
      </w:r>
    </w:p>
    <w:p>
      <w:r>
        <w:t>This document defines how Consentext authenticates users and manages sessions so that all consent, vault access, exports, and audit views are protected by strong identity guarantees.</w:t>
      </w:r>
    </w:p>
    <w:p>
      <w:r>
        <w:t>Consentext is not an AI system. This policy must not introduce reasoning, inference, insights, recommendations, diagnostics, prompt generation, or model orchestration.</w:t>
      </w:r>
    </w:p>
    <w:p>
      <w:pPr>
        <w:pStyle w:val="Heading2"/>
      </w:pPr>
      <w:r>
        <w:t>1. Scope</w:t>
      </w:r>
    </w:p>
    <w:p>
      <w:r/>
      <w:r>
        <w:rPr>
          <w:b/>
        </w:rPr>
        <w:t>Applies to:</w:t>
      </w:r>
      <w:r/>
    </w:p>
    <w:p>
      <w:pPr>
        <w:pStyle w:val="ListBullet"/>
      </w:pPr>
      <w:r>
        <w:t>User login and logout flows (web and mobile, if applicable)</w:t>
      </w:r>
    </w:p>
    <w:p>
      <w:pPr>
        <w:pStyle w:val="ListBullet"/>
      </w:pPr>
      <w:r>
        <w:t>Session and token lifecycle (access tokens, refresh tokens, cookies)</w:t>
      </w:r>
    </w:p>
    <w:p>
      <w:pPr>
        <w:pStyle w:val="ListBullet"/>
      </w:pPr>
      <w:r>
        <w:t>Authentication posture for sensitive user actions (share/revoke/export)</w:t>
      </w:r>
    </w:p>
    <w:p>
      <w:pPr>
        <w:pStyle w:val="ListBullet"/>
      </w:pPr>
      <w:r>
        <w:t>Account security controls (rate limits, MFA support via IdP, recovery posture)</w:t>
      </w:r>
    </w:p>
    <w:p>
      <w:pPr>
        <w:pStyle w:val="ListBullet"/>
      </w:pPr>
      <w:r>
        <w:t>Identity-related audit events (login/logout/session revocation)</w:t>
      </w:r>
    </w:p>
    <w:p>
      <w:r/>
      <w:r>
        <w:rPr>
          <w:b/>
        </w:rPr>
        <w:t>Out of scope (Phase 3.75):</w:t>
      </w:r>
      <w:r/>
    </w:p>
    <w:p>
      <w:pPr>
        <w:pStyle w:val="ListBullet"/>
      </w:pPr>
      <w:r>
        <w:t>Custom username/password storage managed by Consentext (IdP-managed credentials only)</w:t>
      </w:r>
    </w:p>
    <w:p>
      <w:pPr>
        <w:pStyle w:val="ListBullet"/>
      </w:pPr>
      <w:r>
        <w:t>Consumer-grade social login options unless provided by the tenant's IdP</w:t>
      </w:r>
    </w:p>
    <w:p>
      <w:pPr>
        <w:pStyle w:val="ListBullet"/>
      </w:pPr>
      <w:r>
        <w:t>Device attestation, risk-based authentication, or continuous authentication</w:t>
      </w:r>
    </w:p>
    <w:p>
      <w:pPr>
        <w:pStyle w:val="Heading2"/>
      </w:pPr>
      <w:r>
        <w:t>2. Non-Negotiable Principles</w:t>
      </w:r>
    </w:p>
    <w:p>
      <w:pPr>
        <w:pStyle w:val="ListBullet"/>
      </w:pPr>
      <w:r/>
      <w:r>
        <w:rPr>
          <w:b/>
        </w:rPr>
        <w:t>Trusted IdP only:</w:t>
      </w:r>
      <w:r>
        <w:t xml:space="preserve"> Users authenticate via OIDC/OAuth2 with a tenant-approved Identity Provider.</w:t>
      </w:r>
    </w:p>
    <w:p>
      <w:pPr>
        <w:pStyle w:val="ListBullet"/>
      </w:pPr>
      <w:r/>
      <w:r>
        <w:rPr>
          <w:b/>
        </w:rPr>
        <w:t>Fail closed:</w:t>
      </w:r>
      <w:r>
        <w:t xml:space="preserve"> Missing or invalid identity/session state results in denial.</w:t>
      </w:r>
    </w:p>
    <w:p>
      <w:pPr>
        <w:pStyle w:val="ListBullet"/>
      </w:pPr>
      <w:r/>
      <w:r>
        <w:rPr>
          <w:b/>
        </w:rPr>
        <w:t>Least privilege:</w:t>
      </w:r>
      <w:r>
        <w:t xml:space="preserve"> Sessions grant only the minimum capabilities needed for the current user role.</w:t>
      </w:r>
    </w:p>
    <w:p>
      <w:pPr>
        <w:pStyle w:val="ListBullet"/>
      </w:pPr>
      <w:r/>
      <w:r>
        <w:rPr>
          <w:b/>
        </w:rPr>
        <w:t>Revocation must be effective:</w:t>
      </w:r>
      <w:r>
        <w:t xml:space="preserve"> Logout and admin/user-initiated session revocation must stop future access immediately.</w:t>
      </w:r>
    </w:p>
    <w:p>
      <w:pPr>
        <w:pStyle w:val="ListBullet"/>
      </w:pPr>
      <w:r/>
      <w:r>
        <w:rPr>
          <w:b/>
        </w:rPr>
        <w:t>No PHI in auth logs:</w:t>
      </w:r>
      <w:r>
        <w:t xml:space="preserve"> Identity events must be human-readable summaries only.</w:t>
      </w:r>
    </w:p>
    <w:p>
      <w:pPr>
        <w:pStyle w:val="ListBullet"/>
      </w:pPr>
      <w:r/>
      <w:r>
        <w:rPr>
          <w:b/>
        </w:rPr>
        <w:t>Environment separation:</w:t>
      </w:r>
      <w:r>
        <w:t xml:space="preserve"> Dev/staging/prod use separate IdP apps, secrets, and redirect URIs.</w:t>
      </w:r>
    </w:p>
    <w:p>
      <w:pPr>
        <w:pStyle w:val="Heading2"/>
      </w:pPr>
      <w:r>
        <w:t>3. Actors and Identities</w:t>
      </w:r>
    </w:p>
    <w:p>
      <w:r/>
      <w:r>
        <w:rPr>
          <w:b/>
        </w:rPr>
        <w:t>Actors:</w:t>
      </w:r>
      <w:r/>
    </w:p>
    <w:p>
      <w:pPr>
        <w:pStyle w:val="ListBullet"/>
      </w:pPr>
      <w:r/>
      <w:r>
        <w:rPr>
          <w:b/>
        </w:rPr>
        <w:t>User</w:t>
      </w:r>
      <w:r>
        <w:t xml:space="preserve"> (data owner): authenticates, manages shares, views audit, initiates exports.</w:t>
      </w:r>
    </w:p>
    <w:p>
      <w:pPr>
        <w:pStyle w:val="ListBullet"/>
      </w:pPr>
      <w:r/>
      <w:r>
        <w:rPr>
          <w:b/>
        </w:rPr>
        <w:t>Tenant admin</w:t>
      </w:r>
      <w:r>
        <w:t>: role-gated admin within tenant; may view limited audit per tenant policy.</w:t>
      </w:r>
    </w:p>
    <w:p>
      <w:pPr>
        <w:pStyle w:val="ListBullet"/>
      </w:pPr>
      <w:r/>
      <w:r>
        <w:rPr>
          <w:b/>
        </w:rPr>
        <w:t>Consentext services</w:t>
      </w:r>
      <w:r>
        <w:t>: backend services that validate user sessions and enforce authorization.</w:t>
      </w:r>
    </w:p>
    <w:p>
      <w:pPr>
        <w:pStyle w:val="ListBullet"/>
      </w:pPr>
      <w:r/>
      <w:r>
        <w:rPr>
          <w:b/>
        </w:rPr>
        <w:t>Identity Provider (IdP)</w:t>
      </w:r>
      <w:r>
        <w:t>: authoritative issuer of user identity assertions (OIDC).</w:t>
      </w:r>
    </w:p>
    <w:p>
      <w:r/>
      <w:r>
        <w:rPr>
          <w:b/>
        </w:rPr>
        <w:t>Identity assertions (minimum):</w:t>
      </w:r>
      <w:r/>
    </w:p>
    <w:p>
      <w:pPr>
        <w:pStyle w:val="ListBullet"/>
      </w:pPr>
      <w:r>
        <w:t>`tenant_id` (or equivalent tenant boundary claim)</w:t>
      </w:r>
    </w:p>
    <w:p>
      <w:pPr>
        <w:pStyle w:val="ListBullet"/>
      </w:pPr>
      <w:r>
        <w:t>`user_id` / `subject` (stable unique identifier)</w:t>
      </w:r>
    </w:p>
    <w:p>
      <w:pPr>
        <w:pStyle w:val="ListBullet"/>
      </w:pPr>
      <w:r>
        <w:t>`roles` / `groups` (if used for tenant-admin capabilities)</w:t>
      </w:r>
    </w:p>
    <w:p>
      <w:pPr>
        <w:pStyle w:val="Heading2"/>
      </w:pPr>
      <w:r>
        <w:t>4. Authentication (AuthN) Requirements</w:t>
      </w:r>
    </w:p>
    <w:p>
      <w:pPr>
        <w:pStyle w:val="Heading3"/>
      </w:pPr>
      <w:r>
        <w:t>4.1 Supported Protocols (MVP)</w:t>
      </w:r>
    </w:p>
    <w:p>
      <w:pPr>
        <w:pStyle w:val="ListBullet"/>
      </w:pPr>
      <w:r>
        <w:t>OIDC authorization code flow with PKCE for browser/mobile clients</w:t>
      </w:r>
    </w:p>
    <w:p>
      <w:pPr>
        <w:pStyle w:val="ListBullet"/>
      </w:pPr>
      <w:r>
        <w:t>JWT access tokens issued by the IdP (or exchanged for Consentext session tokens if using a backend-for-frontend)</w:t>
      </w:r>
    </w:p>
    <w:p>
      <w:pPr>
        <w:pStyle w:val="ListBullet"/>
      </w:pPr>
      <w:r>
        <w:t>Refresh tokens (if used) must be rotated and revocable</w:t>
      </w:r>
    </w:p>
    <w:p>
      <w:pPr>
        <w:pStyle w:val="Heading3"/>
      </w:pPr>
      <w:r>
        <w:t>4.2 Login Flow (High-Level)</w:t>
      </w:r>
    </w:p>
    <w:p>
      <w:pPr>
        <w:pStyle w:val="ListNumber"/>
      </w:pPr>
      <w:r>
        <w:t>Client initiates OIDC login and redirects to IdP authorization endpoint</w:t>
      </w:r>
    </w:p>
    <w:p>
      <w:pPr>
        <w:pStyle w:val="ListNumber"/>
      </w:pPr>
      <w:r>
        <w:t>IdP authenticates the user (including MFA if enabled)</w:t>
      </w:r>
    </w:p>
    <w:p>
      <w:pPr>
        <w:pStyle w:val="ListNumber"/>
      </w:pPr>
      <w:r>
        <w:t>Client receives authorization code and exchanges it for tokens (PKCE)</w:t>
      </w:r>
    </w:p>
    <w:p>
      <w:pPr>
        <w:pStyle w:val="ListNumber"/>
      </w:pPr>
      <w:r>
        <w:t>Consentext establishes a session (cookie-based web session or token-based mobile session)</w:t>
      </w:r>
    </w:p>
    <w:p>
      <w:pPr>
        <w:pStyle w:val="ListNumber"/>
      </w:pPr>
      <w:r>
        <w:t>Consentext emits an `auth_login` audit event (no PHI; include correlation_id)</w:t>
      </w:r>
    </w:p>
    <w:p>
      <w:pPr>
        <w:pStyle w:val="Heading3"/>
      </w:pPr>
      <w:r>
        <w:t>4.3 Logout Flow (High-Level)</w:t>
      </w:r>
    </w:p>
    <w:p>
      <w:pPr>
        <w:pStyle w:val="ListNumber"/>
      </w:pPr>
      <w:r>
        <w:t>User initiates logout from the client</w:t>
      </w:r>
    </w:p>
    <w:p>
      <w:pPr>
        <w:pStyle w:val="ListNumber"/>
      </w:pPr>
      <w:r>
        <w:t>Consentext terminates the active session server-side (invalidate session identifier)</w:t>
      </w:r>
    </w:p>
    <w:p>
      <w:pPr>
        <w:pStyle w:val="ListNumber"/>
      </w:pPr>
      <w:r>
        <w:t>Consentext revokes/invalidates refresh tokens (if applicable) immediately</w:t>
      </w:r>
    </w:p>
    <w:p>
      <w:pPr>
        <w:pStyle w:val="ListNumber"/>
      </w:pPr>
      <w:r>
        <w:t>Client clears local session state (cookies/storage)</w:t>
      </w:r>
    </w:p>
    <w:p>
      <w:pPr>
        <w:pStyle w:val="ListNumber"/>
      </w:pPr>
      <w:r>
        <w:t>Consentext emits an `auth_logout` audit event (no PHI; include correlation_id)</w:t>
      </w:r>
    </w:p>
    <w:p>
      <w:pPr>
        <w:pStyle w:val="Heading3"/>
      </w:pPr>
      <w:r>
        <w:t>4.4 Session Security (Minimum Requirements)</w:t>
      </w:r>
    </w:p>
    <w:p>
      <w:pPr>
        <w:pStyle w:val="ListBullet"/>
      </w:pPr>
      <w:r>
        <w:t>Session tokens must be short-lived; define both inactivity timeout and absolute session lifetime</w:t>
      </w:r>
    </w:p>
    <w:p>
      <w:pPr>
        <w:pStyle w:val="ListBullet"/>
      </w:pPr>
      <w:r>
        <w:t>If refresh tokens exist, they must be rotated and bound to the session; reuse must be detected and revoked</w:t>
      </w:r>
    </w:p>
    <w:p>
      <w:pPr>
        <w:pStyle w:val="ListBullet"/>
      </w:pPr>
      <w:r>
        <w:t>Logout must invalidate server-side session state and associated refresh tokens immediately</w:t>
      </w:r>
    </w:p>
    <w:p>
      <w:pPr>
        <w:pStyle w:val="ListBullet"/>
      </w:pPr>
      <w:r>
        <w:t>Support explicit session revocation (user-driven "log out of all devices" and admin-driven revoke where allowed)</w:t>
      </w:r>
    </w:p>
    <w:p>
      <w:pPr>
        <w:pStyle w:val="ListBullet"/>
      </w:pPr>
      <w:r>
        <w:t>Sensitive actions must require recent authentication (reauth) as configured: revoke share, create share, export bundle, manage identifiers toggle</w:t>
      </w:r>
    </w:p>
    <w:p>
      <w:pPr>
        <w:pStyle w:val="Heading3"/>
      </w:pPr>
      <w:r>
        <w:t>4.5 Cookie and Browser Protections (Web)</w:t>
      </w:r>
    </w:p>
    <w:p>
      <w:pPr>
        <w:pStyle w:val="ListBullet"/>
      </w:pPr>
      <w:r>
        <w:t>Cookies must be `Secure`, `HttpOnly`, and `SameSite` (Lax or Strict as feasible)</w:t>
      </w:r>
    </w:p>
    <w:p>
      <w:pPr>
        <w:pStyle w:val="ListBullet"/>
      </w:pPr>
      <w:r>
        <w:t>CSRF protection is required for state-changing endpoints when using cookies</w:t>
      </w:r>
    </w:p>
    <w:p>
      <w:pPr>
        <w:pStyle w:val="ListBullet"/>
      </w:pPr>
      <w:r>
        <w:t xml:space="preserve">Enforce </w:t>
      </w:r>
      <w:r>
        <w:rPr>
          <w:b/>
        </w:rPr>
        <w:t>TLS 1.2 minimum</w:t>
      </w:r>
      <w:r>
        <w:t xml:space="preserve"> everywhere (TLS 1.3 preferred; TLS 1.0/1.1 disabled); HSTS enabled in production</w:t>
      </w:r>
    </w:p>
    <w:p>
      <w:pPr>
        <w:pStyle w:val="ListBullet"/>
      </w:pPr>
      <w:r>
        <w:t>Redirect URI allowlist enforced; no open redirects</w:t>
      </w:r>
    </w:p>
    <w:p>
      <w:pPr>
        <w:pStyle w:val="Heading2"/>
      </w:pPr>
      <w:r>
        <w:t>5. Authorization (AuthZ) Dependencies</w:t>
      </w:r>
    </w:p>
    <w:p>
      <w:r>
        <w:t>This document defines identity and session guarantees. Authorization decisions remain governed by Access Enforcement and Consent Policy documents.</w:t>
      </w:r>
    </w:p>
    <w:p>
      <w:r/>
      <w:r>
        <w:rPr>
          <w:b/>
        </w:rPr>
        <w:t>Minimum role model:</w:t>
      </w:r>
      <w:r/>
    </w:p>
    <w:p>
      <w:pPr>
        <w:pStyle w:val="ListBullet"/>
      </w:pPr>
      <w:r>
        <w:t>`user`: manage own vault, shares, exports, and audit events</w:t>
      </w:r>
    </w:p>
    <w:p>
      <w:pPr>
        <w:pStyle w:val="ListBullet"/>
      </w:pPr>
      <w:r>
        <w:t>`tenant_admin`: limited tenant-scoped visibility per policy; never grants default access to vault payloads</w:t>
      </w:r>
    </w:p>
    <w:p>
      <w:pPr>
        <w:pStyle w:val="ListBullet"/>
      </w:pPr>
      <w:r>
        <w:t>`support/break-glass`: explicit approvals only; audited; time-bound access</w:t>
      </w:r>
    </w:p>
    <w:p>
      <w:r>
        <w:t>All authorization checks must use: tenant boundary + user_id + role claims, and must fail closed if claims are missing.</w:t>
      </w:r>
    </w:p>
    <w:p>
      <w:pPr>
        <w:pStyle w:val="Heading2"/>
      </w:pPr>
      <w:r>
        <w:t>6. Abuse Prevention and Account Protection</w:t>
      </w:r>
    </w:p>
    <w:p>
      <w:pPr>
        <w:pStyle w:val="ListBullet"/>
      </w:pPr>
      <w:r>
        <w:t>Rate-limit login attempts per account and per IP; apply progressive throttling</w:t>
      </w:r>
    </w:p>
    <w:p>
      <w:pPr>
        <w:pStyle w:val="ListBullet"/>
      </w:pPr>
      <w:r>
        <w:t>Lock out or challenge after repeated failed attempts (IdP-preferred; Consentext may add secondary controls)</w:t>
      </w:r>
    </w:p>
    <w:p>
      <w:pPr>
        <w:pStyle w:val="ListBullet"/>
      </w:pPr>
      <w:r>
        <w:t>Prevent session fixation; rotate session identifiers on privilege changes</w:t>
      </w:r>
    </w:p>
    <w:p>
      <w:pPr>
        <w:pStyle w:val="ListBullet"/>
      </w:pPr>
      <w:r>
        <w:t>Detect anomalous refresh token reuse; revoke token family on suspected compromise</w:t>
      </w:r>
    </w:p>
    <w:p>
      <w:pPr>
        <w:pStyle w:val="ListBullet"/>
      </w:pPr>
      <w:r>
        <w:t>MFA support: rely on IdP MFA; Consentext must not bypass IdP MFA decisions</w:t>
      </w:r>
    </w:p>
    <w:p>
      <w:pPr>
        <w:pStyle w:val="Heading2"/>
      </w:pPr>
      <w:r>
        <w:t>7. Audit Events (Identity)</w:t>
      </w:r>
    </w:p>
    <w:p>
      <w:r>
        <w:t>Identity and session events must be auditable without exposing PHI.</w:t>
      </w:r>
    </w:p>
    <w:p>
      <w:r/>
      <w:r>
        <w:rPr>
          <w:b/>
        </w:rPr>
        <w:t>Minimum events:</w:t>
      </w:r>
      <w:r/>
    </w:p>
    <w:p>
      <w:pPr>
        <w:pStyle w:val="ListBullet"/>
      </w:pPr>
      <w:r>
        <w:t>`auth_login` (success)</w:t>
      </w:r>
    </w:p>
    <w:p>
      <w:pPr>
        <w:pStyle w:val="ListBullet"/>
      </w:pPr>
      <w:r>
        <w:t>`auth_login_failed` (rate-limited, generic failure reason only)</w:t>
      </w:r>
    </w:p>
    <w:p>
      <w:pPr>
        <w:pStyle w:val="ListBullet"/>
      </w:pPr>
      <w:r>
        <w:t>`auth_logout`</w:t>
      </w:r>
    </w:p>
    <w:p>
      <w:pPr>
        <w:pStyle w:val="ListBullet"/>
      </w:pPr>
      <w:r>
        <w:t>`auth_session_revoked` (single session)</w:t>
      </w:r>
    </w:p>
    <w:p>
      <w:pPr>
        <w:pStyle w:val="ListBullet"/>
      </w:pPr>
      <w:r>
        <w:t>`auth_all_sessions_revoked` (user-initiated)</w:t>
      </w:r>
    </w:p>
    <w:p>
      <w:pPr>
        <w:pStyle w:val="ListBullet"/>
      </w:pPr>
      <w:r>
        <w:t>`auth_mfa_required` (if surfaced from IdP)</w:t>
      </w:r>
    </w:p>
    <w:p>
      <w:r/>
      <w:r>
        <w:rPr>
          <w:b/>
        </w:rPr>
        <w:t>Event fields (minimum):</w:t>
      </w:r>
      <w:r/>
    </w:p>
    <w:p>
      <w:pPr>
        <w:pStyle w:val="ListBullet"/>
      </w:pPr>
      <w:r>
        <w:t>`event_type`, `timestamp`, `tenant_id`, `user_id`</w:t>
      </w:r>
    </w:p>
    <w:p>
      <w:pPr>
        <w:pStyle w:val="ListBullet"/>
      </w:pPr>
      <w:r>
        <w:t>`actor_type` (user/admin/system)</w:t>
      </w:r>
    </w:p>
    <w:p>
      <w:pPr>
        <w:pStyle w:val="ListBullet"/>
      </w:pPr>
      <w:r>
        <w:t>`correlation_id` / `request_id`</w:t>
      </w:r>
    </w:p>
    <w:p>
      <w:pPr>
        <w:pStyle w:val="ListBullet"/>
      </w:pPr>
      <w:r>
        <w:t>`summary` (human-readable; no PHI)</w:t>
      </w:r>
    </w:p>
    <w:p>
      <w:pPr>
        <w:pStyle w:val="Heading2"/>
      </w:pPr>
      <w:r>
        <w:t>8. Environment and Configuration Requirements</w:t>
      </w:r>
    </w:p>
    <w:p>
      <w:pPr>
        <w:pStyle w:val="ListBullet"/>
      </w:pPr>
      <w:r>
        <w:t>Separate IdP applications/clients per environment (dev/staging/prod)</w:t>
      </w:r>
    </w:p>
    <w:p>
      <w:pPr>
        <w:pStyle w:val="ListBullet"/>
      </w:pPr>
      <w:r>
        <w:t>Separate secrets per environment; never reuse signing keys or session secrets across envs</w:t>
      </w:r>
    </w:p>
    <w:p>
      <w:pPr>
        <w:pStyle w:val="ListBullet"/>
      </w:pPr>
      <w:r>
        <w:t>Staging must not use real sensitive data</w:t>
      </w:r>
    </w:p>
    <w:p>
      <w:pPr>
        <w:pStyle w:val="ListBullet"/>
      </w:pPr>
      <w:r>
        <w:t>Configurable session lifetimes and reauth windows (conservative defaults)</w:t>
      </w:r>
    </w:p>
    <w:p>
      <w:pPr>
        <w:pStyle w:val="Heading2"/>
      </w:pPr>
      <w:r>
        <w:t>9. Open Questions / TBDs</w:t>
      </w:r>
    </w:p>
    <w:p>
      <w:pPr>
        <w:pStyle w:val="ListBullet"/>
      </w:pPr>
      <w:r>
        <w:t>Exact session lifetime values (inactivity + absolute) and re-auth window for sensitive actions</w:t>
      </w:r>
    </w:p>
    <w:p>
      <w:pPr>
        <w:pStyle w:val="ListBullet"/>
      </w:pPr>
      <w:r>
        <w:t>Whether Consentext uses IdP tokens directly or issues its own session tokens (BFF pattern)</w:t>
      </w:r>
    </w:p>
    <w:p>
      <w:pPr>
        <w:pStyle w:val="ListBullet"/>
      </w:pPr>
      <w:r>
        <w:t>Support for tenant-specific IdP configurations (multiple IdPs, SSO vs passwordless) in future phases</w:t>
      </w:r>
    </w:p>
    <w:p>
      <w:pPr>
        <w:pStyle w:val="ListBullet"/>
      </w:pPr>
      <w:r>
        <w:t>Account recovery and admin reset policies (if allowed) and how they are audited</w:t>
      </w:r>
    </w:p>
    <w:p>
      <w:pPr>
        <w:pStyle w:val="Heading2"/>
      </w:pPr>
      <w:r>
        <w:t>10. Verification (Acceptance Checks)</w:t>
      </w:r>
    </w:p>
    <w:p>
      <w:pPr>
        <w:pStyle w:val="ListBullet"/>
      </w:pPr>
      <w:r>
        <w:t>[ ] Login establishes a valid session and emits `auth_login` audit event</w:t>
      </w:r>
    </w:p>
    <w:p>
      <w:pPr>
        <w:pStyle w:val="ListBullet"/>
      </w:pPr>
      <w:r>
        <w:t>[ ] Logout invalidates server-side session and refresh tokens immediately; subsequent requests fail</w:t>
      </w:r>
    </w:p>
    <w:p>
      <w:pPr>
        <w:pStyle w:val="ListBullet"/>
      </w:pPr>
      <w:r>
        <w:t>[ ] Session inactivity timeout and absolute lifetime are enforced</w:t>
      </w:r>
    </w:p>
    <w:p>
      <w:pPr>
        <w:pStyle w:val="ListBullet"/>
      </w:pPr>
      <w:r>
        <w:t>[ ] Re-auth is required for sensitive actions; action is denied if re-auth window is exceeded</w:t>
      </w:r>
    </w:p>
    <w:p>
      <w:pPr>
        <w:pStyle w:val="ListBullet"/>
      </w:pPr>
      <w:r>
        <w:t>[ ] CSRF protections block cross-site state changes (web)</w:t>
      </w:r>
    </w:p>
    <w:p>
      <w:pPr>
        <w:pStyle w:val="ListBullet"/>
      </w:pPr>
      <w:r>
        <w:t>[ ] No PHI appears in auth-related logs/events</w:t>
      </w:r>
    </w:p>
    <w:p>
      <w:r>
        <w:t>____________________________________________________________</w:t>
      </w:r>
    </w:p>
    <w:p>
      <w:pPr>
        <w:pStyle w:val="Heading2"/>
      </w:pPr>
      <w:r>
        <w:t>v2.0 Iteration — Blueprint Additions</w:t>
      </w:r>
    </w:p>
    <w:p>
      <w:pPr>
        <w:pStyle w:val="Heading3"/>
      </w:pPr>
      <w:r>
        <w:t>Passkeys as Preferred Authentication</w:t>
      </w:r>
    </w:p>
    <w:p>
      <w:r>
        <w:t>Per the Blueprint, passkeys (WebAuthn/FIDO2) are the preferred authentication method for Consentext users:</w:t>
      </w:r>
    </w:p>
    <w:p>
      <w:pPr>
        <w:pStyle w:val="ListBullet"/>
      </w:pPr>
      <w:r>
        <w:t>Passkeys eliminate phishing risk and remove password-based attack vectors</w:t>
      </w:r>
    </w:p>
    <w:p>
      <w:pPr>
        <w:pStyle w:val="ListBullet"/>
      </w:pPr>
      <w:r>
        <w:t>The IdP must support WebAuthn registration and authentication</w:t>
      </w:r>
    </w:p>
    <w:p>
      <w:pPr>
        <w:pStyle w:val="ListBullet"/>
      </w:pPr>
      <w:r>
        <w:t>Users should be prompted to register a passkey during onboarding</w:t>
      </w:r>
    </w:p>
    <w:p>
      <w:pPr>
        <w:pStyle w:val="ListBullet"/>
      </w:pPr>
      <w:r>
        <w:t>Password + MFA remains as a fallback for devices that do not support passkeys</w:t>
      </w:r>
    </w:p>
    <w:p>
      <w:pPr>
        <w:pStyle w:val="ListBullet"/>
      </w:pPr>
      <w:r>
        <w:t>The system must not degrade security by offering password-only as a primary option</w:t>
      </w:r>
    </w:p>
    <w:p>
      <w:r>
        <w:t>Implementation note: Consentext delegates passkey management to the IdP. The platform does not store passkey credentials directly. The IdP configuration must enable WebAuthn as a first-class authentication method.</w:t>
      </w:r>
    </w:p>
    <w:p>
      <w:pPr>
        <w:pStyle w:val="Heading3"/>
      </w:pPr>
      <w:r>
        <w:t>Device Binding</w:t>
      </w:r>
    </w:p>
    <w:p>
      <w:r>
        <w:t>For enhanced session security, the Blueprint recommends binding sessions and capability tokens to the originating device:</w:t>
      </w:r>
    </w:p>
    <w:p>
      <w:pPr>
        <w:pStyle w:val="ListBullet"/>
      </w:pPr>
      <w:r>
        <w:t>Session tokens should include a device fingerprint or binding claim</w:t>
      </w:r>
    </w:p>
    <w:p>
      <w:pPr>
        <w:pStyle w:val="ListBullet"/>
      </w:pPr>
      <w:r>
        <w:t>Capability tokens (issued by the enforcement service) should be bound to the session/device that requested them</w:t>
      </w:r>
    </w:p>
    <w:p>
      <w:pPr>
        <w:pStyle w:val="ListBullet"/>
      </w:pPr>
      <w:r>
        <w:t>If a token is presented from a different device context, it should be rejected</w:t>
      </w:r>
    </w:p>
    <w:p>
      <w:pPr>
        <w:pStyle w:val="ListBullet"/>
      </w:pPr>
      <w:r>
        <w:t>Device binding is enforced at the gateway layer before policy evaluation</w:t>
      </w:r>
    </w:p>
    <w:p>
      <w:r>
        <w:t>Phase 3.75 implementation: at minimum, bind refresh tokens to the device/session that created them. Full device attestation is out of scope but the token schema should reserve fields for device binding metadata (</w:t>
      </w:r>
      <w:r>
        <w:rPr>
          <w:rFonts w:ascii="Consolas" w:hAnsi="Consolas"/>
          <w:color w:val="800000"/>
          <w:sz w:val="20"/>
        </w:rPr>
        <w:t>device_id</w:t>
      </w:r>
      <w:r>
        <w:t xml:space="preserve">, </w:t>
      </w:r>
      <w:r>
        <w:rPr>
          <w:rFonts w:ascii="Consolas" w:hAnsi="Consolas"/>
          <w:color w:val="800000"/>
          <w:sz w:val="20"/>
        </w:rPr>
        <w:t>device_fingerprint</w:t>
      </w:r>
      <w:r>
        <w:t>).</w:t>
      </w:r>
    </w:p>
    <w:p>
      <w:pPr>
        <w:pStyle w:val="Heading3"/>
      </w:pPr>
      <w:r>
        <w:t>Principal Authentication for Agents and Applications</w:t>
      </w:r>
    </w:p>
    <w:p>
      <w:r>
        <w:t>The Blueprint introduces agents and external applications as first-class principals alongside human users. Their authentication requirements differ:</w:t>
      </w:r>
    </w:p>
    <w:p>
      <w:r/>
      <w:r>
        <w:rPr>
          <w:b/>
        </w:rPr>
        <w:t>Agent authentication:</w:t>
      </w:r>
      <w:r/>
    </w:p>
    <w:p>
      <w:pPr>
        <w:pStyle w:val="ListBullet"/>
      </w:pPr>
      <w:r>
        <w:t>Agents authenticate using service credentials (client_credentials flow or signed JWTs)</w:t>
      </w:r>
    </w:p>
    <w:p>
      <w:pPr>
        <w:pStyle w:val="ListBullet"/>
      </w:pPr>
      <w:r>
        <w:t>Agent identity must include: `agent_id`, `agent_name`, `agent_owner_user_id` (the user who authorized the agent)</w:t>
      </w:r>
    </w:p>
    <w:p>
      <w:pPr>
        <w:pStyle w:val="ListBullet"/>
      </w:pPr>
      <w:r>
        <w:t>Agents inherit NO permissions by default; all access requires an explicit ConsentPolicy grant from the user</w:t>
      </w:r>
    </w:p>
    <w:p>
      <w:pPr>
        <w:pStyle w:val="ListBullet"/>
      </w:pPr>
      <w:r>
        <w:t>Agent credentials must be short-lived and rotatable</w:t>
      </w:r>
    </w:p>
    <w:p>
      <w:pPr>
        <w:pStyle w:val="ListBullet"/>
      </w:pPr>
      <w:r>
        <w:t>Agent identity is a distinct `principal_type` in the system (not reusing user identity)</w:t>
      </w:r>
    </w:p>
    <w:p>
      <w:r/>
      <w:r>
        <w:rPr>
          <w:b/>
        </w:rPr>
        <w:t>Application (API consumer) authentication:</w:t>
      </w:r>
      <w:r/>
    </w:p>
    <w:p>
      <w:pPr>
        <w:pStyle w:val="ListBullet"/>
      </w:pPr>
      <w:r>
        <w:t>Applications authenticate using client credentials (OAuth2 client_credentials flow)</w:t>
      </w:r>
    </w:p>
    <w:p>
      <w:pPr>
        <w:pStyle w:val="ListBullet"/>
      </w:pPr>
      <w:r>
        <w:t>Applications must be registered and approved per tenant</w:t>
      </w:r>
    </w:p>
    <w:p>
      <w:pPr>
        <w:pStyle w:val="ListBullet"/>
      </w:pPr>
      <w:r>
        <w:t>Application identity includes: `app_id`, `app_name`, `app_organization`</w:t>
      </w:r>
    </w:p>
    <w:p>
      <w:pPr>
        <w:pStyle w:val="ListBullet"/>
      </w:pPr>
      <w:r>
        <w:t>Applications are subject to rate limits and audit logging like any other principal</w:t>
      </w:r>
    </w:p>
    <w:p>
      <w:r/>
      <w:r>
        <w:rPr>
          <w:b/>
        </w:rPr>
        <w:t>Shared requirements:</w:t>
      </w:r>
      <w:r/>
    </w:p>
    <w:p>
      <w:pPr>
        <w:pStyle w:val="ListBullet"/>
      </w:pPr>
      <w:r>
        <w:t>All non-human principals are treated as untrusted by default</w:t>
      </w:r>
    </w:p>
    <w:p>
      <w:pPr>
        <w:pStyle w:val="ListBullet"/>
      </w:pPr>
      <w:r>
        <w:t>Principal type (user | agent | app) is included in every audit event</w:t>
      </w:r>
    </w:p>
    <w:p>
      <w:pPr>
        <w:pStyle w:val="ListBullet"/>
      </w:pPr>
      <w:r>
        <w:t>The gateway must identify the principal type before routing to the policy engine</w:t>
      </w:r>
    </w:p>
    <w:p>
      <w:pPr>
        <w:pStyle w:val="Heading3"/>
      </w:pPr>
      <w:r>
        <w:t>Step-Up Authentication for High-Risk Requests</w:t>
      </w:r>
    </w:p>
    <w:p>
      <w:r>
        <w:t>Certain actions are classified as high-risk and require step-up authentication (re-authentication with a stronger factor) even within an active session:</w:t>
      </w:r>
    </w:p>
    <w:p>
      <w:r/>
      <w:r>
        <w:rPr>
          <w:b/>
        </w:rPr>
        <w:t>High-risk actions (require step-up):</w:t>
      </w:r>
      <w:r/>
    </w:p>
    <w:p>
      <w:pPr>
        <w:pStyle w:val="ListBullet"/>
      </w:pPr>
      <w:r>
        <w:t>Creating a share with raw data access</w:t>
      </w:r>
    </w:p>
    <w:p>
      <w:pPr>
        <w:pStyle w:val="ListBullet"/>
      </w:pPr>
      <w:r>
        <w:t>Sharing identity pod fields (non-AI recipients)</w:t>
      </w:r>
    </w:p>
    <w:p>
      <w:pPr>
        <w:pStyle w:val="ListBullet"/>
      </w:pPr>
      <w:r>
        <w:t>Sharing records documents</w:t>
      </w:r>
    </w:p>
    <w:p>
      <w:pPr>
        <w:pStyle w:val="ListBullet"/>
      </w:pPr>
      <w:r>
        <w:t>Revoking all active shares</w:t>
      </w:r>
    </w:p>
    <w:p>
      <w:pPr>
        <w:pStyle w:val="ListBullet"/>
      </w:pPr>
      <w:r>
        <w:t>Exporting audit history</w:t>
      </w:r>
    </w:p>
    <w:p>
      <w:pPr>
        <w:pStyle w:val="ListBullet"/>
      </w:pPr>
      <w:r>
        <w:t>Modifying account security settings</w:t>
      </w:r>
    </w:p>
    <w:p>
      <w:r/>
      <w:r>
        <w:rPr>
          <w:b/>
        </w:rPr>
        <w:t>Step-up flow:</w:t>
      </w:r>
      <w:r/>
    </w:p>
    <w:p>
      <w:pPr>
        <w:pStyle w:val="ListNumber"/>
      </w:pPr>
      <w:r>
        <w:t>User initiates a high-risk action</w:t>
      </w:r>
    </w:p>
    <w:p>
      <w:pPr>
        <w:pStyle w:val="ListNumber"/>
      </w:pPr>
      <w:r>
        <w:t>System checks the timestamp of last strong authentication</w:t>
      </w:r>
    </w:p>
    <w:p>
      <w:pPr>
        <w:pStyle w:val="ListNumber"/>
      </w:pPr>
      <w:r>
        <w:t>If the strong auth is stale (beyond configurable window, e.g., 5 minutes), prompt for re-authentication</w:t>
      </w:r>
    </w:p>
    <w:p>
      <w:pPr>
        <w:pStyle w:val="ListNumber"/>
      </w:pPr>
      <w:r>
        <w:t>User re-authenticates (passkey preferred, MFA fallback)</w:t>
      </w:r>
    </w:p>
    <w:p>
      <w:pPr>
        <w:pStyle w:val="ListNumber"/>
      </w:pPr>
      <w:r>
        <w:t>Action proceeds; step-up timestamp is recorded</w:t>
      </w:r>
    </w:p>
    <w:p>
      <w:r/>
      <w:r>
        <w:rPr>
          <w:b/>
        </w:rPr>
        <w:t>For agent-initiated high-risk requests:</w:t>
      </w:r>
      <w:r/>
    </w:p>
    <w:p>
      <w:pPr>
        <w:pStyle w:val="ListBullet"/>
      </w:pPr>
      <w:r>
        <w:t>The agent cannot perform step-up authentication itself</w:t>
      </w:r>
    </w:p>
    <w:p>
      <w:pPr>
        <w:pStyle w:val="ListBullet"/>
      </w:pPr>
      <w:r>
        <w:t>The system sends a notification to the user (push notification, email, or in-app prompt)</w:t>
      </w:r>
    </w:p>
    <w:p>
      <w:pPr>
        <w:pStyle w:val="ListBullet"/>
      </w:pPr>
      <w:r>
        <w:t>The user approves or denies the request</w:t>
      </w:r>
    </w:p>
    <w:p>
      <w:pPr>
        <w:pStyle w:val="ListBullet"/>
      </w:pPr>
      <w:r>
        <w:t>If the user does not respond within a configurable timeout, the request is denied</w:t>
      </w:r>
    </w:p>
    <w:p>
      <w:pPr>
        <w:pStyle w:val="ListBullet"/>
      </w:pPr>
      <w:r>
        <w:t>This aligns with the two-step high-risk access flow defined in the Access Enforcement spec</w:t>
      </w:r>
    </w:p>
    <w:p>
      <w:r>
        <w:t>____________________________________________________________</w:t>
      </w:r>
    </w:p>
    <w:p>
      <w:pPr>
        <w:pStyle w:val="Heading2"/>
      </w:pPr>
      <w:r>
        <w:t>v3.0 Iteration — HIPAA Compliance Additions</w:t>
      </w:r>
    </w:p>
    <w:p>
      <w:pPr>
        <w:pStyle w:val="Heading3"/>
      </w:pPr>
      <w:r>
        <w:t>TLS 1.2+ Requirement (Explicit)</w:t>
      </w:r>
    </w:p>
    <w:p>
      <w:r>
        <w:t>HIPAA Security Rule (§164.312(e)(1)) requires technical security measures for ePHI transmitted over electronic networks. Consentext must enforce:</w:t>
      </w:r>
    </w:p>
    <w:p>
      <w:pPr>
        <w:pStyle w:val="ListBullet"/>
      </w:pPr>
      <w:r/>
      <w:r>
        <w:rPr>
          <w:b/>
        </w:rPr>
        <w:t>TLS 1.2 minimum</w:t>
      </w:r>
      <w:r>
        <w:t xml:space="preserve"> for all connections (TLS 1.3 preferred)</w:t>
      </w:r>
    </w:p>
    <w:p>
      <w:pPr>
        <w:pStyle w:val="ListBullet"/>
      </w:pPr>
      <w:r>
        <w:t>TLS 1.0 and 1.1 must be disabled on all endpoints and IdP connections</w:t>
      </w:r>
    </w:p>
    <w:p>
      <w:pPr>
        <w:pStyle w:val="ListBullet"/>
      </w:pPr>
      <w:r>
        <w:t>OIDC/OAuth2 token exchanges must occur over TLS 1.2+</w:t>
      </w:r>
    </w:p>
    <w:p>
      <w:pPr>
        <w:pStyle w:val="ListBullet"/>
      </w:pPr>
      <w:r>
        <w:t>HSTS headers must be configured with a minimum max-age of 1 year in production</w:t>
      </w:r>
    </w:p>
    <w:p>
      <w:pPr>
        <w:pStyle w:val="ListBullet"/>
      </w:pPr>
      <w:r>
        <w:t>Certificate transparency logging should be enabled</w:t>
      </w:r>
    </w:p>
    <w:p>
      <w:r>
        <w:t>This was implicit in v2.0 ("Enforce TLS everywhere") but is now explicit with minimum version requirements per HIPAA and NIST guidance.</w:t>
      </w:r>
    </w:p>
    <w:p>
      <w:pPr>
        <w:pStyle w:val="Heading3"/>
      </w:pPr>
      <w:r>
        <w:t>Automatic Session Termination</w:t>
      </w:r>
    </w:p>
    <w:p>
      <w:r>
        <w:t>HIPAA Security Rule (§164.312(a)(2)(iii)) requires procedures for terminating electronic sessions after a period of inactivity. Consentext must:</w:t>
      </w:r>
    </w:p>
    <w:p>
      <w:pPr>
        <w:pStyle w:val="ListBullet"/>
      </w:pPr>
      <w:r>
        <w:t>Implement automatic session termination after a defined inactivity period (recommended: 15 minutes for clinical portal users, 30 minutes for consumer vault users)</w:t>
      </w:r>
    </w:p>
    <w:p>
      <w:pPr>
        <w:pStyle w:val="ListBullet"/>
      </w:pPr>
      <w:r>
        <w:t>Display a warning before automatic termination (e.g., 2-minute countdown)</w:t>
      </w:r>
    </w:p>
    <w:p>
      <w:pPr>
        <w:pStyle w:val="ListBullet"/>
      </w:pPr>
      <w:r>
        <w:t>Clear all client-side session state upon automatic termination</w:t>
      </w:r>
    </w:p>
    <w:p>
      <w:pPr>
        <w:pStyle w:val="ListBullet"/>
      </w:pPr>
      <w:r>
        <w:t>Emit an `auth_session_timeout` audit event</w:t>
      </w:r>
    </w:p>
    <w:p>
      <w:r>
        <w:t xml:space="preserve">Add </w:t>
      </w:r>
      <w:r>
        <w:rPr>
          <w:rFonts w:ascii="Consolas" w:hAnsi="Consolas"/>
          <w:color w:val="800000"/>
          <w:sz w:val="20"/>
        </w:rPr>
        <w:t>auth_session_timeout</w:t>
      </w:r>
      <w:r>
        <w:t xml:space="preserve"> to the minimum events list in §7.</w:t>
      </w:r>
    </w:p>
    <w:p>
      <w:pPr>
        <w:pStyle w:val="Heading3"/>
      </w:pPr>
      <w:r>
        <w:t>Emergency Access Procedure</w:t>
      </w:r>
    </w:p>
    <w:p>
      <w:r>
        <w:t>HIPAA Security Rule (§164.312(a)(2)(ii)) requires procedures for obtaining necessary ePHI during an emergency. Consentext must:</w:t>
      </w:r>
    </w:p>
    <w:p>
      <w:pPr>
        <w:pStyle w:val="ListBullet"/>
      </w:pPr>
      <w:r>
        <w:t>Define a break-glass procedure for emergency access to user vaults (e.g., medical emergency where the user is incapacitated)</w:t>
      </w:r>
    </w:p>
    <w:p>
      <w:pPr>
        <w:pStyle w:val="ListBullet"/>
      </w:pPr>
      <w:r>
        <w:t>Break-glass access must require approval from at least two authorized personnel</w:t>
      </w:r>
    </w:p>
    <w:p>
      <w:pPr>
        <w:pStyle w:val="ListBullet"/>
      </w:pPr>
      <w:r>
        <w:t>All break-glass access must be logged with enhanced audit detail</w:t>
      </w:r>
    </w:p>
    <w:p>
      <w:pPr>
        <w:pStyle w:val="ListBullet"/>
      </w:pPr>
      <w:r>
        <w:t>Break-glass sessions must be time-bound (maximum 4 hours) and auto-revoke</w:t>
      </w:r>
    </w:p>
    <w:p>
      <w:r>
        <w:t xml:space="preserve">This extends the existing </w:t>
      </w:r>
      <w:r>
        <w:rPr>
          <w:rFonts w:ascii="Consolas" w:hAnsi="Consolas"/>
          <w:color w:val="800000"/>
          <w:sz w:val="20"/>
        </w:rPr>
        <w:t>support/break-glass</w:t>
      </w:r>
      <w:r>
        <w:t xml:space="preserve"> role defined in §5 with specific HIPAA-aligned procedures.</w:t>
      </w:r>
    </w:p>
    <w:p>
      <w:pPr>
        <w:pStyle w:val="Heading3"/>
      </w:pPr>
      <w:r>
        <w:t>Cross-Reference</w:t>
      </w:r>
    </w:p>
    <w:p>
      <w:r>
        <w:t xml:space="preserve">See </w:t>
      </w:r>
      <w:r>
        <w:rPr>
          <w:rFonts w:ascii="Consolas" w:hAnsi="Consolas"/>
          <w:color w:val="800000"/>
          <w:sz w:val="20"/>
        </w:rPr>
        <w:t>00_Regulatory_Compliance_Posture.md</w:t>
      </w:r>
      <w:r>
        <w:t xml:space="preserve"> for the full HIPAA regulatory framework, including encryption standards, workforce training, and physical safeguards.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